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textAlignment w:val="auto"/>
        <w:outlineLvl w:val="9"/>
        <w:rPr>
          <w:rFonts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eastAsia="方正小标宋_GBK" w:cs="方正小标宋_GBK"/>
          <w:color w:val="000000"/>
          <w:sz w:val="44"/>
          <w:szCs w:val="44"/>
        </w:rPr>
        <w:t>青岛市市场监督管理局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0" w:rightChars="0"/>
        <w:jc w:val="center"/>
        <w:textAlignment w:val="auto"/>
        <w:outlineLvl w:val="9"/>
        <w:rPr>
          <w:rFonts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eastAsia="方正小标宋_GBK" w:cs="方正小标宋_GBK"/>
          <w:sz w:val="44"/>
          <w:szCs w:val="44"/>
        </w:rPr>
        <w:t>法治政府建设</w:t>
      </w:r>
      <w:r>
        <w:rPr>
          <w:rFonts w:hint="eastAsia" w:eastAsia="方正小标宋_GBK" w:cs="方正小标宋_GBK"/>
          <w:sz w:val="44"/>
          <w:szCs w:val="44"/>
          <w:lang w:eastAsia="zh-CN"/>
        </w:rPr>
        <w:t>情况的</w:t>
      </w:r>
      <w:r>
        <w:rPr>
          <w:rFonts w:hint="eastAsia" w:eastAsia="方正小标宋_GBK" w:cs="方正小标宋_GBK"/>
          <w:sz w:val="44"/>
          <w:szCs w:val="44"/>
        </w:rPr>
        <w:t>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textAlignment w:val="auto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</w:rPr>
        <w:t>4年推进法治政府建设的主要举措和成效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（一）强化</w:t>
      </w:r>
      <w:r>
        <w:rPr>
          <w:rFonts w:hint="eastAsia" w:ascii="楷体_GB2312" w:hAnsi="楷体_GB2312" w:eastAsia="楷体_GB2312" w:cs="楷体_GB2312"/>
          <w:sz w:val="32"/>
          <w:szCs w:val="32"/>
        </w:rPr>
        <w:t>法治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引领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培育依法行政理念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after="0" w:line="560" w:lineRule="exact"/>
        <w:ind w:left="0" w:leftChars="0" w:firstLine="643" w:firstLineChars="200"/>
        <w:textAlignment w:val="auto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  <w:b/>
          <w:bCs/>
        </w:rPr>
        <w:t>一是</w:t>
      </w:r>
      <w:r>
        <w:rPr>
          <w:rFonts w:hint="eastAsia" w:ascii="仿宋_GB2312" w:hAnsi="仿宋_GB2312" w:cs="仿宋_GB2312"/>
          <w:b/>
          <w:bCs/>
          <w:lang w:eastAsia="zh-CN"/>
        </w:rPr>
        <w:t>做好科学</w:t>
      </w:r>
      <w:r>
        <w:rPr>
          <w:rFonts w:hint="eastAsia" w:ascii="仿宋_GB2312" w:hAnsi="仿宋_GB2312" w:cs="仿宋_GB2312"/>
          <w:b/>
          <w:bCs/>
        </w:rPr>
        <w:t>立法立规。</w:t>
      </w:r>
      <w:r>
        <w:rPr>
          <w:rFonts w:hint="eastAsia" w:ascii="仿宋_GB2312" w:hAnsi="仿宋_GB2312" w:cs="仿宋_GB2312"/>
          <w:lang w:val="en-US" w:eastAsia="zh-CN"/>
        </w:rPr>
        <w:t>全省首部地方标准立法</w:t>
      </w:r>
      <w:r>
        <w:rPr>
          <w:rFonts w:hint="eastAsia" w:ascii="仿宋_GB2312" w:cs="黑体"/>
        </w:rPr>
        <w:t>《青岛市地方标准管理办法》</w:t>
      </w:r>
      <w:r>
        <w:rPr>
          <w:rFonts w:hint="eastAsia" w:ascii="仿宋_GB2312" w:hAnsi="仿宋_GB2312" w:cs="仿宋_GB2312"/>
          <w:color w:val="000000"/>
        </w:rPr>
        <w:t>出台</w:t>
      </w:r>
      <w:r>
        <w:rPr>
          <w:rFonts w:hint="eastAsia" w:ascii="仿宋_GB2312" w:hAnsi="仿宋_GB2312" w:cs="仿宋_GB2312"/>
          <w:color w:val="000000"/>
          <w:lang w:eastAsia="zh-CN"/>
        </w:rPr>
        <w:t>，</w:t>
      </w:r>
      <w:r>
        <w:rPr>
          <w:rFonts w:hint="eastAsia" w:ascii="仿宋_GB2312" w:hAnsi="仿宋_GB2312" w:cs="仿宋_GB2312"/>
          <w:color w:val="000000"/>
          <w:lang w:val="en-US" w:eastAsia="zh-CN"/>
        </w:rPr>
        <w:t>全国首部品牌立法</w:t>
      </w:r>
      <w:r>
        <w:rPr>
          <w:rFonts w:hint="eastAsia" w:ascii="仿宋_GB2312" w:cs="黑体"/>
        </w:rPr>
        <w:t>《青岛市品</w:t>
      </w:r>
      <w:r>
        <w:rPr>
          <w:rFonts w:hint="eastAsia" w:ascii="仿宋_GB2312" w:hAnsi="仿宋_GB2312" w:cs="仿宋_GB2312"/>
        </w:rPr>
        <w:t>牌建设促进条例》</w:t>
      </w:r>
      <w:r>
        <w:rPr>
          <w:rFonts w:hint="eastAsia" w:ascii="仿宋_GB2312" w:cs="黑体"/>
        </w:rPr>
        <w:t>加快推进，</w:t>
      </w:r>
      <w:r>
        <w:rPr>
          <w:rFonts w:hint="eastAsia" w:ascii="仿宋_GB2312" w:hAnsi="仿宋_GB2312" w:cs="仿宋_GB2312"/>
          <w:lang w:val="en-US" w:eastAsia="zh-CN"/>
        </w:rPr>
        <w:t>我市市场监管领域立法占全省各市立法总量超过三分之一</w:t>
      </w:r>
      <w:r>
        <w:rPr>
          <w:rFonts w:hint="eastAsia" w:ascii="仿宋_GB2312" w:hAnsi="仿宋_GB2312" w:cs="仿宋_GB231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落实公平竞争审查制度。</w:t>
      </w:r>
      <w:r>
        <w:rPr>
          <w:rFonts w:hint="eastAsia" w:ascii="仿宋_GB2312" w:hAnsi="仿宋_GB2312" w:eastAsia="仿宋_GB2312" w:cs="仿宋_GB2312"/>
          <w:sz w:val="32"/>
          <w:szCs w:val="32"/>
        </w:rPr>
        <w:t>出台《青岛市公平竞争审查会同审查工作指引（暂行）》，召开市公平竞争审查工作会议，举办业务培训，落实重大政策措施会同审查制度。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与政策措施起草单位开展座谈交流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余次，会同审查重大政策措施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49</w:t>
      </w:r>
      <w:r>
        <w:rPr>
          <w:rFonts w:hint="eastAsia" w:ascii="仿宋_GB2312" w:hAnsi="仿宋_GB2312" w:eastAsia="仿宋_GB2312" w:cs="仿宋_GB2312"/>
          <w:sz w:val="32"/>
          <w:szCs w:val="32"/>
        </w:rPr>
        <w:t>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法治宣传教育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通过</w:t>
      </w:r>
      <w:r>
        <w:rPr>
          <w:rFonts w:hint="eastAsia" w:ascii="仿宋_GB2312" w:hAnsi="仿宋" w:eastAsia="仿宋_GB2312" w:cs="仿宋"/>
          <w:sz w:val="32"/>
          <w:szCs w:val="32"/>
        </w:rPr>
        <w:t>微视频、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以案释法</w:t>
      </w:r>
      <w:r>
        <w:rPr>
          <w:rFonts w:hint="eastAsia" w:ascii="仿宋_GB2312" w:hAnsi="仿宋" w:eastAsia="仿宋_GB2312" w:cs="仿宋"/>
          <w:sz w:val="32"/>
          <w:szCs w:val="32"/>
        </w:rPr>
        <w:t>、事后回访等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多种</w:t>
      </w:r>
      <w:r>
        <w:rPr>
          <w:rFonts w:hint="eastAsia" w:ascii="仿宋_GB2312" w:hAnsi="仿宋" w:eastAsia="仿宋_GB2312" w:cs="仿宋"/>
          <w:sz w:val="32"/>
          <w:szCs w:val="32"/>
        </w:rPr>
        <w:t>形式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普法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深化</w:t>
      </w:r>
      <w:r>
        <w:rPr>
          <w:rFonts w:hint="eastAsia" w:ascii="仿宋_GB2312" w:hAnsi="仿宋" w:eastAsia="仿宋_GB2312" w:cs="仿宋"/>
          <w:sz w:val="32"/>
          <w:szCs w:val="32"/>
        </w:rPr>
        <w:t>“市场监管法规通”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普法，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惠及全市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多</w:t>
      </w:r>
      <w:r>
        <w:rPr>
          <w:rFonts w:hint="eastAsia" w:ascii="仿宋_GB2312" w:hAnsi="仿宋" w:eastAsia="仿宋_GB2312" w:cs="仿宋"/>
          <w:sz w:val="32"/>
          <w:szCs w:val="32"/>
        </w:rPr>
        <w:t>万户市场主体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我局法规处被评为全国“八五”普法中期表现突出单位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一人被评为全省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“八五”普法中期表现突出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个人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组织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</w:rPr>
        <w:t>学法用法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考法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b w:val="0"/>
          <w:bCs w:val="0"/>
          <w:sz w:val="32"/>
          <w:szCs w:val="32"/>
        </w:rPr>
        <w:t>学习培训率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100%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两名同志代表省局参加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全国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市场监管系统法律知识竞赛，获团体一等奖。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（二）强化执法为民，优化法治化营商环境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一是全面推行服务型执法。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创新推出的服务型执法模式得到总局转发和省、市主要领导肯定，获批国家社会管理和公共服务综合标准化试点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2024年2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ascii="Times New Roman" w:hAnsi="Times New Roman" w:eastAsia="仿宋_GB2312"/>
          <w:sz w:val="32"/>
          <w:szCs w:val="32"/>
        </w:rPr>
        <w:t>，《国务院关于进一步规范和监督罚款设定与实施的指导意见》将服务型执法模式向全国推广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2024年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，总局印发《关于牢固树立监管为民理念推行服务型执法的指导意见》，我局参加新闻发布会，推介经验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是深化包容审慎监管。</w:t>
      </w:r>
      <w:r>
        <w:rPr>
          <w:rFonts w:ascii="Times New Roman" w:hAnsi="Times New Roman" w:eastAsia="仿宋_GB2312"/>
          <w:sz w:val="32"/>
          <w:szCs w:val="32"/>
        </w:rPr>
        <w:t>出台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新增免罚清单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sz w:val="32"/>
          <w:szCs w:val="32"/>
        </w:rPr>
        <w:t>，新增免罚事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14项。全市系统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累计办理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免罚案件5000余件，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免罚超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2.46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亿</w:t>
      </w:r>
      <w:r>
        <w:rPr>
          <w:rFonts w:ascii="Times New Roman" w:hAnsi="Times New Roman" w:eastAsia="仿宋_GB2312"/>
          <w:sz w:val="32"/>
          <w:szCs w:val="32"/>
        </w:rPr>
        <w:t>元，</w:t>
      </w:r>
      <w:r>
        <w:rPr>
          <w:rFonts w:ascii="Times New Roman" w:hAnsi="Times New Roman" w:eastAsia="仿宋_GB2312"/>
          <w:bCs/>
          <w:sz w:val="32"/>
          <w:szCs w:val="32"/>
        </w:rPr>
        <w:t>工作成效被《青岛日报》等媒体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头版</w:t>
      </w:r>
      <w:r>
        <w:rPr>
          <w:rFonts w:ascii="Times New Roman" w:hAnsi="Times New Roman" w:eastAsia="仿宋_GB2312"/>
          <w:bCs/>
          <w:sz w:val="32"/>
          <w:szCs w:val="32"/>
        </w:rPr>
        <w:t>报道</w:t>
      </w:r>
      <w:r>
        <w:rPr>
          <w:rFonts w:ascii="Times New Roman" w:hAnsi="Times New Roman" w:eastAsia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在青岛自贸片区试点实施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执法“观察期”制度，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促进企业有效防控风险、推动源头治理。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pacing w:line="560" w:lineRule="exact"/>
        <w:ind w:firstLine="643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提升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政务服务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效能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开通“外资企业改制和新《公司法》咨询专窗”，逐案解决改制难题，将未改制外资企业压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缩到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10%</w:t>
      </w:r>
      <w:r>
        <w:rPr>
          <w:rFonts w:ascii="Times New Roman" w:hAnsi="Times New Roman" w:eastAsia="仿宋_GB2312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</w:rPr>
        <w:t>内；落实《海牙公约》，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在全国最早收取海牙认证公证文件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，受到总局表扬；推出视频导办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入选总局网络学院课程。</w:t>
      </w:r>
    </w:p>
    <w:p>
      <w:pPr>
        <w:keepNext w:val="0"/>
        <w:keepLines w:val="0"/>
        <w:pageBreakBefore w:val="0"/>
        <w:numPr>
          <w:ilvl w:val="0"/>
          <w:numId w:val="0"/>
        </w:numPr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default" w:ascii="楷体_GB2312" w:hAnsi="楷体_GB2312" w:eastAsia="楷体_GB2312" w:cs="楷体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强化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依法履职，做好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重点领域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监管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一是实施食品安全集中攻坚行动。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聚焦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学校园食品安全，对校园食堂、供餐单位、大宗食材供货企业全覆盖检查。联合公安部门开展夏季夜市假劣肉制品严打行动，强化食品小作坊合规整治，严厉整顿油罐车运油乱象。开展“你点我检”活动，累计抽检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品6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万余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二是实施药品安全巩固提升行动。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推进药品经营使用跨部门综合监管，夯实经营使用单位主体责任。开展春夏季呼吸道传染病重点用药品种专项检查。组织家庭过期药公益回收活动，防范过期药回流风险。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三是实施特种设备安全筑底行动。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严格落实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“应检尽检”“应停尽停”，全市特种设备定检率保持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100%。推进“电梯应急处置一件事”建设，现场平均救援时间4.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分钟，救援效率位居全国同类城市前列。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四是实施产品质量“提质强企”行动。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对全市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131种重点工业产品实施目录监管，监督抽查5000余批次。开展电动自行车安全隐患全链条整治行动，建立覆盖1297家销售门店的监管台账，立案查处违法案件66</w:t>
      </w:r>
      <w:r>
        <w:rPr>
          <w:rFonts w:hint="eastAsia" w:ascii="仿宋_GB2312" w:hAnsi="仿宋_GB2312" w:eastAsia="仿宋_GB2312" w:cs="仿宋_GB2312"/>
          <w:sz w:val="32"/>
          <w:szCs w:val="32"/>
        </w:rPr>
        <w:t>起。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default" w:ascii="楷体_GB2312" w:hAnsi="楷体_GB2312" w:eastAsia="楷体_GB2312" w:cs="楷体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（四）强化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法治保障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，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规范</w:t>
      </w:r>
      <w:r>
        <w:rPr>
          <w:rStyle w:val="17"/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行政执法行为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一是创新推行“市场监管放心码”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实施以来全市旅游季节消费投诉同比下降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17.62 %，其中餐饮类投诉下降28.19%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有关工作被纳入总局信用改革试点</w:t>
      </w:r>
      <w:r>
        <w:rPr>
          <w:rFonts w:hint="eastAsia" w:ascii="仿宋_GB2312" w:hAnsi="仿宋_GB2312" w:eastAsia="仿宋_GB2312" w:cs="仿宋_GB2312"/>
          <w:sz w:val="32"/>
          <w:szCs w:val="32"/>
        </w:rPr>
        <w:t>，得到省局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市委主要领导批示肯定，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市司法局作为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以法治手段解决民生领域突出问题的创新做法上报省司法厅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《中国市场监管研究》《青岛改革》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予以</w:t>
      </w:r>
      <w:r>
        <w:rPr>
          <w:rFonts w:hint="eastAsia" w:ascii="仿宋_GB2312" w:hAnsi="仿宋_GB2312" w:eastAsia="仿宋_GB2312" w:cs="仿宋_GB2312"/>
          <w:sz w:val="32"/>
          <w:szCs w:val="32"/>
        </w:rPr>
        <w:t>刊发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是开展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行政执法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lang w:eastAsia="zh-CN"/>
        </w:rPr>
        <w:t>突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eastAsia="zh-CN"/>
        </w:rPr>
        <w:t>出问题专项整治。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对作出的行政许可、行政处罚、行政强制、行政检查等执法行为以及制定的相关文件等进行全面自查，建立工作台账，逐项整改到位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印发《提升行政执法质量台账》，明确目标事项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43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项，并严格推进落实，切实提升执法质效。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3" w:firstLineChars="200"/>
        <w:contextualSpacing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是加强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行政执法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监督。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审核重大行政执法决定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件，合法性审查率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100%，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无复议被纠错及败诉案件。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承办全省系统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行政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执法案卷评查，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7个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案卷获评优秀案卷。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行政执法专项监督检查、案卷评查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落实法律顾问、公职律师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参与法制审核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，确保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行政执法“三项制度”落实到位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2024年推进</w:t>
      </w:r>
      <w:r>
        <w:rPr>
          <w:rFonts w:hint="eastAsia" w:ascii="黑体" w:hAnsi="黑体" w:eastAsia="黑体" w:cs="黑体"/>
          <w:sz w:val="32"/>
          <w:szCs w:val="32"/>
        </w:rPr>
        <w:t>法治政府建设存在的不足和原因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年，我局法治政府建设工作虽然取得了显著成效，但仍存在一定的不足。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一是行政执法标准化规范化程度需进一步提高。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主要原因是市场监管领域量大面广，不同领域的规律和特点各不相同且地区差异较大，加之现有执法标准不够完善、精准化不足，在执法实践中有时存在理解差异。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二是</w:t>
      </w:r>
      <w:r>
        <w:rPr>
          <w:rFonts w:hint="eastAsia" w:ascii="楷体_GB2312" w:hAnsi="楷体_GB2312" w:eastAsia="楷体_GB2312" w:cs="楷体_GB2312"/>
          <w:sz w:val="32"/>
          <w:szCs w:val="32"/>
        </w:rPr>
        <w:t>行政执法专业能力建设需进一步强化。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主要原因是违法行为跨行业、跨区域趋势日益明显，而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uk-UA"/>
        </w:rPr>
        <w:t>市场监管执法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人员来源多元，缺乏既“专”又“综”的综合性人才。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2024年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党政主要负责人履行推进法治建设第一责任人职责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，加强法治政府建设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情况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深入学习贯彻习近平法治思想。</w:t>
      </w:r>
      <w:r>
        <w:rPr>
          <w:rFonts w:hint="eastAsia" w:ascii="仿宋_GB2312" w:hAnsi="仿宋_GB2312" w:eastAsia="仿宋_GB2312" w:cs="仿宋_GB2312"/>
          <w:sz w:val="32"/>
          <w:szCs w:val="32"/>
        </w:rPr>
        <w:t>党组理论学习中心组专题学习</w:t>
      </w:r>
      <w:r>
        <w:rPr>
          <w:rFonts w:hint="eastAsia" w:hAnsi="仿宋_GB2312" w:eastAsia="仿宋_GB2312" w:cs="仿宋_GB2312"/>
          <w:sz w:val="32"/>
          <w:szCs w:val="32"/>
        </w:rPr>
        <w:t>两次</w:t>
      </w:r>
      <w:r>
        <w:rPr>
          <w:rFonts w:hint="eastAsia" w:hAnsi="仿宋_GB2312" w:eastAsia="仿宋_GB2312" w:cs="仿宋_GB2312"/>
          <w:sz w:val="32"/>
          <w:szCs w:val="32"/>
          <w:lang w:eastAsia="zh-CN"/>
        </w:rPr>
        <w:t>并开展交流研讨，邀请专家进行专题授课。</w:t>
      </w:r>
      <w:r>
        <w:rPr>
          <w:rFonts w:hint="eastAsia" w:ascii="仿宋_GB2312" w:hAnsi="文星标宋" w:eastAsia="仿宋_GB2312"/>
          <w:sz w:val="32"/>
          <w:szCs w:val="32"/>
        </w:rPr>
        <w:t>组织全体党员干部通过主题党日、“学习强国”平台、总局网络学院等形式加强学习</w:t>
      </w:r>
      <w:r>
        <w:rPr>
          <w:rFonts w:hint="eastAsia" w:hAnsi="仿宋_GB2312" w:eastAsia="仿宋_GB2312" w:cs="仿宋_GB2312"/>
          <w:sz w:val="32"/>
          <w:szCs w:val="32"/>
          <w:lang w:eastAsia="zh-CN"/>
        </w:rPr>
        <w:t>并进行</w:t>
      </w:r>
      <w:r>
        <w:rPr>
          <w:rFonts w:hint="eastAsia" w:ascii="仿宋_GB2312" w:hAnsi="文星标宋" w:eastAsia="仿宋_GB2312"/>
          <w:sz w:val="32"/>
          <w:szCs w:val="32"/>
        </w:rPr>
        <w:t>测试，</w:t>
      </w:r>
      <w:r>
        <w:rPr>
          <w:rFonts w:hint="eastAsia" w:hAnsi="仿宋_GB2312" w:eastAsia="仿宋_GB2312" w:cs="仿宋_GB2312"/>
          <w:sz w:val="32"/>
          <w:szCs w:val="32"/>
          <w:lang w:val="en-US" w:eastAsia="zh-CN"/>
        </w:rPr>
        <w:t>深入学习领悟</w:t>
      </w:r>
      <w:r>
        <w:rPr>
          <w:rFonts w:hint="eastAsia" w:hAnsi="仿宋_GB2312" w:eastAsia="仿宋_GB2312" w:cs="仿宋_GB2312"/>
          <w:sz w:val="32"/>
          <w:szCs w:val="32"/>
        </w:rPr>
        <w:t>思想</w:t>
      </w:r>
      <w:r>
        <w:rPr>
          <w:rFonts w:hint="eastAsia" w:hAnsi="仿宋_GB2312" w:eastAsia="仿宋_GB2312" w:cs="仿宋_GB2312"/>
          <w:sz w:val="32"/>
          <w:szCs w:val="32"/>
          <w:lang w:eastAsia="zh-CN"/>
        </w:rPr>
        <w:t>精髓</w:t>
      </w:r>
      <w:r>
        <w:rPr>
          <w:rFonts w:hint="eastAsia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（二）带头依法履职尽责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党政主要负责人认真履行第一责任人职责，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局领导班子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sz w:val="32"/>
          <w:szCs w:val="32"/>
        </w:rPr>
        <w:t>专题研究法治建设工作，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坚持以法治思维和法治方式推进各项工作开展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eastAsia="仿宋_GB2312" w:cs="仿宋_GB2312"/>
          <w:sz w:val="32"/>
          <w:szCs w:val="32"/>
        </w:rPr>
        <w:t>重大</w:t>
      </w:r>
      <w:r>
        <w:rPr>
          <w:rFonts w:hint="eastAsia" w:eastAsia="仿宋_GB2312" w:cs="仿宋_GB2312"/>
          <w:sz w:val="32"/>
          <w:szCs w:val="32"/>
          <w:lang w:eastAsia="zh-CN"/>
        </w:rPr>
        <w:t>行政</w:t>
      </w:r>
      <w:r>
        <w:rPr>
          <w:rFonts w:hint="eastAsia" w:eastAsia="仿宋_GB2312" w:cs="仿宋_GB2312"/>
          <w:sz w:val="32"/>
          <w:szCs w:val="32"/>
        </w:rPr>
        <w:t>决策合法性审查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100%。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机关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负责人出庭应诉率100%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</w:rPr>
        <w:t>落实年终述法制度</w:t>
      </w:r>
      <w:r>
        <w:rPr>
          <w:rFonts w:hint="eastAsia" w:eastAsia="仿宋_GB2312" w:cs="仿宋_GB2312"/>
          <w:sz w:val="32"/>
          <w:szCs w:val="32"/>
        </w:rPr>
        <w:t>。</w:t>
      </w:r>
      <w:r>
        <w:rPr>
          <w:rFonts w:hint="eastAsia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专题述法会议，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领导班子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围绕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法治学习情况、重大事项依法决策情况、依法履职情况等内容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述法，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进行民主评议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治建设成效作为衡量工作实绩的重要内容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sz w:val="32"/>
          <w:szCs w:val="32"/>
        </w:rPr>
        <w:t>深化执法体制改革。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认真落实“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不少于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90%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的人员力量下沉到执法一线”和“通过网格化方式实现执法全覆盖”两个核心要求，充实一线执法力量，优化执法资源配置，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提升综合执法效能。强化市区两级联络沟通，促进执法力量融合。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、2025年推进法治政府建设的主要安排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强化党的领导，全面提高政治站位。</w:t>
      </w:r>
      <w:r>
        <w:rPr>
          <w:rFonts w:hint="eastAsia" w:ascii="仿宋_GB2312" w:hAnsi="仿宋_GB2312" w:eastAsia="仿宋_GB2312" w:cs="仿宋_GB2312"/>
          <w:sz w:val="32"/>
          <w:szCs w:val="32"/>
        </w:rPr>
        <w:t>牢牢把握市场监管部门首先是政治机关的定位，加强党对市场监管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</w:rPr>
        <w:t>治建设的领导，牢牢把握服务保障高质量发展这一重大职责，顺应市场主体和人民群众对公正监管、有为监管的新期待，提高市场监管工作法治化水平。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强化重点监管，全面提升监管效能。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强化食品、药品、工业产品质量、特种设备的安全监管执法，做到源头严防、过程严管、风险严控、违法严惩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，切实保障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人民群众身体健康和生命财产安全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，维护公平的市场竞争秩序。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  <w:rPr>
          <w:rFonts w:hint="eastAsia" w:ascii="仿宋_GB2312" w:hAnsi="楷体_GB2312" w:eastAsia="仿宋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强化执法监督，规范提升执法质效。</w:t>
      </w:r>
      <w:r>
        <w:rPr>
          <w:rFonts w:hint="eastAsia" w:ascii="仿宋_GB2312" w:hAnsi="楷体_GB2312" w:eastAsia="仿宋_GB2312" w:cs="楷体_GB2312"/>
          <w:kern w:val="0"/>
          <w:sz w:val="32"/>
          <w:szCs w:val="32"/>
        </w:rPr>
        <w:t>加大对重点领域的监督力度</w:t>
      </w:r>
      <w:r>
        <w:rPr>
          <w:rFonts w:hint="eastAsia" w:ascii="仿宋_GB2312" w:hAnsi="楷体_GB2312" w:eastAsia="仿宋_GB2312" w:cs="楷体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楷体_GB2312" w:eastAsia="仿宋_GB2312" w:cs="楷体_GB2312"/>
          <w:kern w:val="0"/>
          <w:sz w:val="32"/>
          <w:szCs w:val="32"/>
        </w:rPr>
        <w:t>结合群众身边不正之风和腐败问题整治工作，有针对性地发现问题。严格规范涉企行政检查</w:t>
      </w:r>
      <w:r>
        <w:rPr>
          <w:rFonts w:hint="eastAsia" w:ascii="仿宋_GB2312" w:hAnsi="楷体_GB2312" w:eastAsia="仿宋_GB2312" w:cs="楷体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楷体_GB2312" w:eastAsia="仿宋_GB2312" w:cs="楷体_GB2312"/>
          <w:kern w:val="0"/>
          <w:sz w:val="32"/>
          <w:szCs w:val="32"/>
        </w:rPr>
        <w:t>贯彻落实上级部署要求，确保行政检查于法有据、严格规范、公正文明、精准高效，切实减轻企业负担。</w:t>
      </w:r>
    </w:p>
    <w:p>
      <w:pPr>
        <w:keepNext w:val="0"/>
        <w:keepLines w:val="0"/>
        <w:pageBreakBefore w:val="0"/>
        <w:pBdr>
          <w:bottom w:val="none" w:color="auto" w:sz="0" w:space="20"/>
          <w:right w:val="none" w:color="auto" w:sz="0" w:space="2"/>
        </w:pBdr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contextualSpacing/>
        <w:textAlignment w:val="auto"/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强化</w:t>
      </w:r>
      <w:r>
        <w:rPr>
          <w:rFonts w:hint="eastAsia" w:ascii="楷体_GB2312" w:hAnsi="楷体_GB2312" w:eastAsia="楷体_GB2312" w:cs="楷体_GB2312"/>
          <w:sz w:val="32"/>
          <w:szCs w:val="32"/>
        </w:rPr>
        <w:t>包容审慎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，优化法治化营商环境。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依法推行涉企行政执法首违不罚、轻违不罚、审慎强制，在全市市场监管系统施行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执法“观察期”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制度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Times New Roman" w:eastAsia="仿宋_GB2312" w:cs="仿宋_GB2312"/>
          <w:sz w:val="32"/>
          <w:szCs w:val="32"/>
        </w:rPr>
        <w:t>探索建立市场监管领域涉企执法经济影响评估制度</w:t>
      </w:r>
      <w:r>
        <w:rPr>
          <w:rFonts w:hint="eastAsia" w:ascii="仿宋_GB2312" w:hAnsi="Times New Roman" w:eastAsia="仿宋_GB2312" w:cs="仿宋_GB2312"/>
          <w:sz w:val="32"/>
          <w:szCs w:val="32"/>
          <w:lang w:eastAsia="zh-CN"/>
        </w:rPr>
        <w:t>，积极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营造</w:t>
      </w:r>
      <w:r>
        <w:rPr>
          <w:rFonts w:hint="eastAsia" w:ascii="仿宋_GB2312" w:hAnsi="仿宋_GB2312" w:eastAsia="仿宋_GB2312" w:cs="仿宋_GB2312"/>
          <w:sz w:val="32"/>
          <w:szCs w:val="32"/>
        </w:rPr>
        <w:t>惩教结合、宽严相济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的法治化营商环境</w:t>
      </w:r>
      <w:r>
        <w:rPr>
          <w:rFonts w:hint="eastAsia" w:ascii="仿宋_GB2312" w:hAnsi="Times New Roman" w:eastAsia="仿宋_GB2312" w:cs="仿宋_GB2312"/>
          <w:sz w:val="32"/>
          <w:szCs w:val="32"/>
        </w:rPr>
        <w:t>。</w:t>
      </w:r>
    </w:p>
    <w:bookmarkEnd w:id="0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43203080"/>
      <w:docPartObj>
        <w:docPartGallery w:val="autotext"/>
      </w:docPartObj>
    </w:sdtPr>
    <w:sdtEndPr>
      <w:rPr>
        <w:rFonts w:asciiTheme="majorEastAsia" w:hAnsiTheme="majorEastAsia" w:eastAsiaTheme="majorEastAsia"/>
        <w:sz w:val="28"/>
        <w:szCs w:val="28"/>
      </w:rPr>
    </w:sdtEndPr>
    <w:sdtContent>
      <w:p>
        <w:pPr>
          <w:pStyle w:val="5"/>
          <w:jc w:val="center"/>
          <w:rPr>
            <w:rFonts w:asciiTheme="majorEastAsia" w:hAnsiTheme="majorEastAsia" w:eastAsiaTheme="majorEastAsia"/>
            <w:sz w:val="28"/>
            <w:szCs w:val="28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-</w:t>
        </w:r>
        <w:r>
          <w:rPr>
            <w:rFonts w:asciiTheme="majorEastAsia" w:hAnsiTheme="majorEastAsia" w:eastAsiaTheme="majorEastAsia"/>
            <w:sz w:val="28"/>
            <w:szCs w:val="28"/>
          </w:rPr>
          <w:t xml:space="preserve"> 6 -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kOTA0YjlhMzRlNGEzMThjOTQxMjQxZDEwODNhZDkifQ=="/>
  </w:docVars>
  <w:rsids>
    <w:rsidRoot w:val="58D841BE"/>
    <w:rsid w:val="002C5399"/>
    <w:rsid w:val="00916C3C"/>
    <w:rsid w:val="00A20278"/>
    <w:rsid w:val="00AE5565"/>
    <w:rsid w:val="04E62CA3"/>
    <w:rsid w:val="133E12C7"/>
    <w:rsid w:val="156D256F"/>
    <w:rsid w:val="169644F1"/>
    <w:rsid w:val="263B1621"/>
    <w:rsid w:val="36AF5D04"/>
    <w:rsid w:val="3C8577D9"/>
    <w:rsid w:val="44D01DBF"/>
    <w:rsid w:val="450B2378"/>
    <w:rsid w:val="45AA6047"/>
    <w:rsid w:val="52FF08E1"/>
    <w:rsid w:val="58D841BE"/>
    <w:rsid w:val="692906B6"/>
    <w:rsid w:val="698F542D"/>
    <w:rsid w:val="6B1A25FB"/>
    <w:rsid w:val="727272DC"/>
    <w:rsid w:val="7ECF63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spacing w:line="330" w:lineRule="atLeast"/>
      <w:jc w:val="left"/>
    </w:pPr>
    <w:rPr>
      <w:rFonts w:ascii="仿宋_GB2312" w:eastAsia="仿宋_GB2312"/>
      <w:color w:val="000000"/>
      <w:kern w:val="0"/>
      <w:sz w:val="32"/>
    </w:rPr>
  </w:style>
  <w:style w:type="paragraph" w:styleId="3">
    <w:name w:val="Document Map"/>
    <w:basedOn w:val="1"/>
    <w:link w:val="16"/>
    <w:qFormat/>
    <w:uiPriority w:val="0"/>
    <w:rPr>
      <w:rFonts w:ascii="宋体"/>
      <w:sz w:val="18"/>
      <w:szCs w:val="18"/>
    </w:rPr>
  </w:style>
  <w:style w:type="paragraph" w:styleId="4">
    <w:name w:val="Body Text Indent 2"/>
    <w:basedOn w:val="1"/>
    <w:link w:val="14"/>
    <w:qFormat/>
    <w:uiPriority w:val="0"/>
    <w:pPr>
      <w:spacing w:after="120" w:line="480" w:lineRule="auto"/>
      <w:ind w:left="420" w:leftChars="200"/>
    </w:pPr>
    <w:rPr>
      <w:rFonts w:eastAsia="仿宋_GB2312"/>
      <w:sz w:val="32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rFonts w:ascii="Calibri" w:hAnsi="Calibri" w:cs="Calibri"/>
      <w:sz w:val="24"/>
    </w:rPr>
  </w:style>
  <w:style w:type="paragraph" w:customStyle="1" w:styleId="10">
    <w:name w:val="UserStyle_0"/>
    <w:basedOn w:val="1"/>
    <w:qFormat/>
    <w:uiPriority w:val="99"/>
    <w:pPr>
      <w:ind w:left="420" w:leftChars="200"/>
      <w:textAlignment w:val="baseline"/>
    </w:pPr>
  </w:style>
  <w:style w:type="paragraph" w:customStyle="1" w:styleId="11">
    <w:name w:val="Body text|1"/>
    <w:basedOn w:val="1"/>
    <w:qFormat/>
    <w:uiPriority w:val="99"/>
    <w:pPr>
      <w:spacing w:line="458" w:lineRule="auto"/>
      <w:ind w:firstLine="400"/>
    </w:pPr>
    <w:rPr>
      <w:rFonts w:ascii="宋体" w:hAnsi="宋体" w:cs="宋体"/>
      <w:lang w:val="zh-TW" w:eastAsia="zh-TW"/>
    </w:rPr>
  </w:style>
  <w:style w:type="character" w:customStyle="1" w:styleId="12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kern w:val="2"/>
      <w:sz w:val="18"/>
      <w:szCs w:val="18"/>
    </w:rPr>
  </w:style>
  <w:style w:type="character" w:customStyle="1" w:styleId="14">
    <w:name w:val="正文文本缩进 2 Char"/>
    <w:basedOn w:val="9"/>
    <w:link w:val="4"/>
    <w:qFormat/>
    <w:uiPriority w:val="0"/>
    <w:rPr>
      <w:rFonts w:eastAsia="仿宋_GB2312"/>
      <w:kern w:val="2"/>
      <w:sz w:val="32"/>
      <w:szCs w:val="24"/>
    </w:rPr>
  </w:style>
  <w:style w:type="paragraph" w:customStyle="1" w:styleId="15">
    <w:name w:val=" Char Char2 Char Char Char Char"/>
    <w:basedOn w:val="3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ahoma" w:hAnsi="Tahoma" w:eastAsia="仿宋_GB2312"/>
      <w:b/>
      <w:sz w:val="24"/>
      <w:szCs w:val="24"/>
    </w:rPr>
  </w:style>
  <w:style w:type="character" w:customStyle="1" w:styleId="16">
    <w:name w:val="文档结构图 Char"/>
    <w:basedOn w:val="9"/>
    <w:link w:val="3"/>
    <w:uiPriority w:val="0"/>
    <w:rPr>
      <w:rFonts w:ascii="宋体"/>
      <w:kern w:val="2"/>
      <w:sz w:val="18"/>
      <w:szCs w:val="18"/>
    </w:rPr>
  </w:style>
  <w:style w:type="character" w:customStyle="1" w:styleId="17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2738</Words>
  <Characters>2820</Characters>
  <Lines>17</Lines>
  <Paragraphs>4</Paragraphs>
  <TotalTime>7</TotalTime>
  <ScaleCrop>false</ScaleCrop>
  <LinksUpToDate>false</LinksUpToDate>
  <CharactersWithSpaces>2821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2024-02-08T00:48:00Z</dcterms:created>
  <dc:creator>雁翎蝉翼</dc:creator>
  <cp:lastModifiedBy>Dell</cp:lastModifiedBy>
  <dcterms:modified xsi:type="dcterms:W3CDTF">2025-02-06T08:52:28Z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B1B01163549B4C61A1A0C422426331E5_11</vt:lpwstr>
  </property>
</Properties>
</file>