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adjustRightInd/>
        <w:spacing w:line="560" w:lineRule="exact"/>
        <w:ind w:right="0"/>
        <w:jc w:val="center"/>
        <w:textAlignment w:val="auto"/>
        <w:outlineLvl w:val="9"/>
        <w:rPr>
          <w:rFonts w:hint="eastAsia" w:eastAsia="方正小标宋_GBK" w:cs="方正小标宋_GBK"/>
          <w:color w:val="000000"/>
          <w:sz w:val="44"/>
          <w:szCs w:val="44"/>
        </w:rPr>
      </w:pPr>
      <w:r>
        <w:rPr>
          <w:rFonts w:hint="eastAsia" w:eastAsia="方正小标宋_GBK" w:cs="方正小标宋_GBK"/>
          <w:color w:val="000000"/>
          <w:sz w:val="44"/>
          <w:szCs w:val="44"/>
        </w:rPr>
        <w:t>青岛市市场监督管理局</w:t>
      </w:r>
    </w:p>
    <w:p>
      <w:pPr>
        <w:keepNext w:val="0"/>
        <w:keepLines w:val="0"/>
        <w:pageBreakBefore w:val="0"/>
        <w:widowControl w:val="0"/>
        <w:kinsoku/>
        <w:wordWrap/>
        <w:overflowPunct/>
        <w:topLinePunct w:val="0"/>
        <w:autoSpaceDE/>
        <w:bidi w:val="0"/>
        <w:adjustRightInd/>
        <w:spacing w:line="560" w:lineRule="exact"/>
        <w:ind w:right="0"/>
        <w:jc w:val="center"/>
        <w:textAlignment w:val="auto"/>
        <w:outlineLvl w:val="9"/>
        <w:rPr>
          <w:rFonts w:eastAsia="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bookmarkStart w:id="0" w:name="_GoBack"/>
      <w:bookmarkEnd w:id="0"/>
      <w:r>
        <w:rPr>
          <w:rFonts w:hint="eastAsia" w:eastAsia="方正小标宋_GBK" w:cs="方正小标宋_GBK"/>
          <w:sz w:val="44"/>
          <w:szCs w:val="44"/>
        </w:rPr>
        <w:t>法治政府建设</w:t>
      </w:r>
      <w:r>
        <w:rPr>
          <w:rFonts w:hint="eastAsia" w:eastAsia="方正小标宋_GBK" w:cs="方正小标宋_GBK"/>
          <w:sz w:val="44"/>
          <w:szCs w:val="44"/>
          <w:lang w:eastAsia="zh-CN"/>
        </w:rPr>
        <w:t>情况</w:t>
      </w:r>
      <w:r>
        <w:rPr>
          <w:rFonts w:hint="eastAsia" w:eastAsia="方正小标宋_GBK" w:cs="方正小标宋_GBK"/>
          <w:sz w:val="44"/>
          <w:szCs w:val="44"/>
        </w:rPr>
        <w:t>报告</w:t>
      </w:r>
    </w:p>
    <w:p>
      <w:pPr>
        <w:keepNext w:val="0"/>
        <w:keepLines w:val="0"/>
        <w:pageBreakBefore w:val="0"/>
        <w:widowControl w:val="0"/>
        <w:kinsoku/>
        <w:wordWrap/>
        <w:overflowPunct/>
        <w:topLinePunct w:val="0"/>
        <w:autoSpaceDE/>
        <w:bidi w:val="0"/>
        <w:adjustRightInd/>
        <w:spacing w:line="560" w:lineRule="exact"/>
        <w:ind w:right="0"/>
        <w:textAlignment w:val="auto"/>
        <w:outlineLvl w:val="9"/>
        <w:rPr>
          <w:rFonts w:eastAsia="仿宋_GB2312"/>
          <w:sz w:val="32"/>
          <w:szCs w:val="32"/>
        </w:rPr>
      </w:pPr>
    </w:p>
    <w:p>
      <w:pPr>
        <w:keepNext w:val="0"/>
        <w:keepLines w:val="0"/>
        <w:pageBreakBefore w:val="0"/>
        <w:widowControl w:val="0"/>
        <w:kinsoku/>
        <w:wordWrap/>
        <w:overflowPunct/>
        <w:topLinePunct w:val="0"/>
        <w:autoSpaceDE/>
        <w:bidi w:val="0"/>
        <w:adjustRightInd/>
        <w:spacing w:beforeAutospacing="0" w:afterAutospacing="0" w:line="560" w:lineRule="exact"/>
        <w:ind w:left="0" w:leftChars="0" w:right="0" w:firstLine="640" w:firstLineChars="200"/>
        <w:textAlignment w:val="auto"/>
        <w:rPr>
          <w:rFonts w:ascii="仿宋_GB2312" w:hAnsi="仿宋_GB2312" w:eastAsia="仿宋_GB2312"/>
          <w:sz w:val="32"/>
          <w:szCs w:val="32"/>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5</w:t>
      </w:r>
      <w:r>
        <w:rPr>
          <w:rFonts w:hint="eastAsia" w:ascii="仿宋_GB2312" w:hAnsi="仿宋_GB2312" w:eastAsia="仿宋_GB2312" w:cs="仿宋_GB2312"/>
          <w:color w:val="000000"/>
          <w:sz w:val="32"/>
          <w:szCs w:val="32"/>
        </w:rPr>
        <w:t>年，青岛市市场</w:t>
      </w:r>
      <w:r>
        <w:rPr>
          <w:rFonts w:hint="eastAsia" w:ascii="仿宋_GB2312" w:hAnsi="仿宋_GB2312" w:eastAsia="仿宋_GB2312" w:cs="仿宋_GB2312"/>
          <w:color w:val="000000"/>
          <w:sz w:val="32"/>
          <w:szCs w:val="32"/>
          <w:lang w:val="en-US" w:eastAsia="zh-CN"/>
        </w:rPr>
        <w:t>监督管理</w:t>
      </w:r>
      <w:r>
        <w:rPr>
          <w:rFonts w:hint="eastAsia" w:ascii="仿宋_GB2312" w:hAnsi="仿宋_GB2312" w:eastAsia="仿宋_GB2312" w:cs="仿宋_GB2312"/>
          <w:color w:val="000000"/>
          <w:sz w:val="32"/>
          <w:szCs w:val="32"/>
        </w:rPr>
        <w:t>局坚持以习近平新时代中国特色社会主义思想为指导，</w:t>
      </w:r>
      <w:r>
        <w:rPr>
          <w:rFonts w:hint="eastAsia" w:hAnsi="仿宋_GB2312" w:eastAsia="仿宋_GB2312" w:cs="仿宋_GB2312"/>
          <w:sz w:val="32"/>
          <w:szCs w:val="32"/>
          <w:lang w:val="en-US" w:eastAsia="zh-CN"/>
        </w:rPr>
        <w:t>严格按照中央、省、市关于法治政府建设的决策部署，结合市场监管中心工作，将法治思维和法治方式贯穿工作全过程各领域。我局“</w:t>
      </w:r>
      <w:r>
        <w:rPr>
          <w:rFonts w:hint="eastAsia" w:ascii="FangSong_GB2312" w:hAnsi="FangSong_GB2312" w:eastAsia="FangSong_GB2312"/>
          <w:sz w:val="32"/>
        </w:rPr>
        <w:t>法治赋能消费环境建设</w:t>
      </w:r>
      <w:r>
        <w:rPr>
          <w:rFonts w:hint="eastAsia" w:ascii="FangSong_GB2312" w:hAnsi="FangSong_GB2312" w:eastAsia="FangSong_GB2312"/>
          <w:sz w:val="32"/>
          <w:lang w:val="en-US" w:eastAsia="zh-CN"/>
        </w:rPr>
        <w:t xml:space="preserve"> </w:t>
      </w:r>
      <w:r>
        <w:rPr>
          <w:rFonts w:hint="eastAsia" w:ascii="FangSong_GB2312" w:hAnsi="FangSong_GB2312" w:eastAsia="FangSong_GB2312"/>
          <w:sz w:val="32"/>
        </w:rPr>
        <w:t>诚信引领提振消费信心</w:t>
      </w:r>
      <w:r>
        <w:rPr>
          <w:rFonts w:hint="eastAsia" w:hAnsi="仿宋_GB2312" w:eastAsia="仿宋_GB2312" w:cs="仿宋_GB2312"/>
          <w:sz w:val="32"/>
          <w:szCs w:val="32"/>
          <w:lang w:val="en-US" w:eastAsia="zh-CN"/>
        </w:rPr>
        <w:t>”</w:t>
      </w:r>
      <w:r>
        <w:rPr>
          <w:rFonts w:hint="eastAsia" w:ascii="FangSong_GB2312" w:hAnsi="FangSong_GB2312" w:eastAsia="FangSong_GB2312"/>
          <w:sz w:val="32"/>
        </w:rPr>
        <w:t>获评青岛市</w:t>
      </w:r>
      <w:r>
        <w:rPr>
          <w:rFonts w:hint="default" w:ascii="Times New Roman" w:hAnsi="Times New Roman" w:eastAsia="FangSong_GB2312" w:cs="Times New Roman"/>
          <w:sz w:val="32"/>
        </w:rPr>
        <w:t>2025</w:t>
      </w:r>
      <w:r>
        <w:rPr>
          <w:rFonts w:hint="eastAsia" w:ascii="FangSong_GB2312" w:hAnsi="FangSong_GB2312" w:eastAsia="FangSong_GB2312"/>
          <w:sz w:val="32"/>
        </w:rPr>
        <w:t>年法治为民实事</w:t>
      </w:r>
      <w:r>
        <w:rPr>
          <w:rFonts w:hint="eastAsia" w:ascii="仿宋_GB2312" w:hAnsi="仿宋_GB2312" w:eastAsia="仿宋_GB2312" w:cs="仿宋_GB2312"/>
          <w:b w:val="0"/>
          <w:color w:val="auto"/>
          <w:kern w:val="2"/>
          <w:sz w:val="32"/>
          <w:szCs w:val="32"/>
          <w:lang w:eastAsia="zh-CN"/>
        </w:rPr>
        <w:t>，</w:t>
      </w:r>
      <w:r>
        <w:rPr>
          <w:rFonts w:hint="eastAsia" w:ascii="仿宋_GB2312" w:hAnsi="仿宋_GB2312" w:eastAsia="仿宋_GB2312" w:cs="仿宋_GB2312"/>
          <w:b w:val="0"/>
          <w:color w:val="auto"/>
          <w:kern w:val="2"/>
          <w:sz w:val="32"/>
          <w:szCs w:val="32"/>
          <w:lang w:val="en-US" w:eastAsia="zh-CN"/>
        </w:rPr>
        <w:t>在</w:t>
      </w:r>
      <w:r>
        <w:rPr>
          <w:rFonts w:hint="eastAsia" w:ascii="仿宋_GB2312" w:hAnsi="仿宋_GB2312" w:eastAsia="仿宋_GB2312" w:cs="仿宋_GB2312"/>
          <w:b w:val="0"/>
          <w:bCs w:val="0"/>
          <w:sz w:val="32"/>
          <w:szCs w:val="32"/>
        </w:rPr>
        <w:t>全省市场监管系统法律知识</w:t>
      </w:r>
      <w:r>
        <w:rPr>
          <w:rFonts w:hint="eastAsia" w:ascii="仿宋_GB2312" w:hAnsi="仿宋_GB2312" w:eastAsia="仿宋_GB2312" w:cs="仿宋_GB2312"/>
          <w:b w:val="0"/>
          <w:bCs w:val="0"/>
          <w:sz w:val="32"/>
          <w:szCs w:val="32"/>
          <w:lang w:val="en-US" w:eastAsia="zh-CN"/>
        </w:rPr>
        <w:t>技能</w:t>
      </w:r>
      <w:r>
        <w:rPr>
          <w:rFonts w:hint="eastAsia" w:ascii="仿宋_GB2312" w:hAnsi="仿宋_GB2312" w:eastAsia="仿宋_GB2312" w:cs="仿宋_GB2312"/>
          <w:b w:val="0"/>
          <w:bCs w:val="0"/>
          <w:sz w:val="32"/>
          <w:szCs w:val="32"/>
        </w:rPr>
        <w:t>竞赛</w:t>
      </w:r>
      <w:r>
        <w:rPr>
          <w:rFonts w:hint="eastAsia" w:ascii="仿宋_GB2312" w:hAnsi="仿宋_GB2312" w:eastAsia="仿宋_GB2312" w:cs="仿宋_GB2312"/>
          <w:b w:val="0"/>
          <w:bCs w:val="0"/>
          <w:sz w:val="32"/>
          <w:szCs w:val="32"/>
          <w:lang w:val="en-US" w:eastAsia="zh-CN"/>
        </w:rPr>
        <w:t>中，我局笔试总分第一名，获</w:t>
      </w:r>
      <w:r>
        <w:rPr>
          <w:rFonts w:hint="eastAsia" w:ascii="仿宋_GB2312" w:hAnsi="仿宋_GB2312" w:eastAsia="仿宋_GB2312" w:cs="仿宋_GB2312"/>
          <w:b w:val="0"/>
          <w:bCs w:val="0"/>
          <w:sz w:val="32"/>
          <w:szCs w:val="32"/>
        </w:rPr>
        <w:t>团体</w:t>
      </w:r>
      <w:r>
        <w:rPr>
          <w:rFonts w:hint="eastAsia" w:ascii="仿宋_GB2312" w:hAnsi="仿宋_GB2312" w:eastAsia="仿宋_GB2312" w:cs="仿宋_GB2312"/>
          <w:b w:val="0"/>
          <w:bCs w:val="0"/>
          <w:sz w:val="32"/>
          <w:szCs w:val="32"/>
          <w:lang w:val="en-US" w:eastAsia="zh-CN"/>
        </w:rPr>
        <w:t>二</w:t>
      </w:r>
      <w:r>
        <w:rPr>
          <w:rFonts w:hint="eastAsia" w:ascii="仿宋_GB2312" w:hAnsi="仿宋_GB2312" w:eastAsia="仿宋_GB2312" w:cs="仿宋_GB2312"/>
          <w:b w:val="0"/>
          <w:bCs w:val="0"/>
          <w:sz w:val="32"/>
          <w:szCs w:val="32"/>
        </w:rPr>
        <w:t>等奖</w:t>
      </w:r>
      <w:r>
        <w:rPr>
          <w:rFonts w:hint="eastAsia" w:ascii="仿宋_GB2312" w:hAnsi="仿宋_GB2312" w:eastAsia="仿宋_GB2312" w:cs="仿宋_GB2312"/>
          <w:color w:val="auto"/>
          <w:sz w:val="32"/>
          <w:szCs w:val="32"/>
        </w:rPr>
        <w:t>。</w:t>
      </w:r>
      <w:r>
        <w:rPr>
          <w:rFonts w:hint="eastAsia" w:hAnsi="仿宋_GB2312" w:eastAsia="仿宋_GB2312" w:cs="仿宋_GB2312"/>
          <w:sz w:val="32"/>
          <w:szCs w:val="32"/>
        </w:rPr>
        <w:t>现将我局</w:t>
      </w: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5</w:t>
      </w:r>
      <w:r>
        <w:rPr>
          <w:rFonts w:hint="eastAsia" w:hAnsi="仿宋_GB2312" w:eastAsia="仿宋_GB2312" w:cs="仿宋_GB2312"/>
          <w:sz w:val="32"/>
          <w:szCs w:val="32"/>
        </w:rPr>
        <w:t>年法治政府建设情况报</w:t>
      </w:r>
      <w:r>
        <w:rPr>
          <w:rFonts w:hint="eastAsia" w:ascii="仿宋_GB2312" w:hAnsi="仿宋_GB2312" w:eastAsia="仿宋_GB2312" w:cs="仿宋_GB2312"/>
          <w:sz w:val="32"/>
          <w:szCs w:val="32"/>
        </w:rPr>
        <w:t>告如下：</w:t>
      </w:r>
    </w:p>
    <w:p>
      <w:pPr>
        <w:keepNext w:val="0"/>
        <w:keepLines w:val="0"/>
        <w:pageBreakBefore w:val="0"/>
        <w:widowControl w:val="0"/>
        <w:kinsoku/>
        <w:wordWrap/>
        <w:overflowPunct/>
        <w:topLinePunct w:val="0"/>
        <w:autoSpaceDE/>
        <w:bidi w:val="0"/>
        <w:adjustRightInd/>
        <w:spacing w:beforeAutospacing="0" w:afterAutospacing="0" w:line="560" w:lineRule="exact"/>
        <w:ind w:left="0" w:leftChars="0" w:right="0" w:firstLine="640" w:firstLineChars="200"/>
        <w:textAlignment w:val="auto"/>
        <w:rPr>
          <w:rFonts w:ascii="黑体" w:hAnsi="黑体" w:eastAsia="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w:t>
      </w:r>
      <w:r>
        <w:rPr>
          <w:rFonts w:ascii="黑体" w:hAnsi="黑体" w:eastAsia="黑体" w:cs="黑体"/>
          <w:sz w:val="32"/>
          <w:szCs w:val="32"/>
        </w:rPr>
        <w:t>202</w:t>
      </w:r>
      <w:r>
        <w:rPr>
          <w:rFonts w:hint="eastAsia" w:ascii="黑体" w:hAnsi="黑体" w:eastAsia="黑体" w:cs="黑体"/>
          <w:sz w:val="32"/>
          <w:szCs w:val="32"/>
          <w:lang w:val="en-US" w:eastAsia="zh-CN"/>
        </w:rPr>
        <w:t>5</w:t>
      </w:r>
      <w:r>
        <w:rPr>
          <w:rFonts w:hint="eastAsia" w:ascii="黑体" w:hAnsi="黑体" w:eastAsia="黑体" w:cs="黑体"/>
          <w:sz w:val="32"/>
          <w:szCs w:val="32"/>
        </w:rPr>
        <w:t>年推进法治政府建设的主要举措和成效</w:t>
      </w:r>
    </w:p>
    <w:p>
      <w:pPr>
        <w:keepNext w:val="0"/>
        <w:keepLines w:val="0"/>
        <w:pageBreakBefore w:val="0"/>
        <w:widowControl w:val="0"/>
        <w:kinsoku/>
        <w:wordWrap/>
        <w:overflowPunct/>
        <w:topLinePunct w:val="0"/>
        <w:autoSpaceDE/>
        <w:bidi w:val="0"/>
        <w:adjustRightInd/>
        <w:snapToGrid w:val="0"/>
        <w:spacing w:beforeAutospacing="0" w:afterAutospacing="0" w:line="560" w:lineRule="exact"/>
        <w:ind w:left="0" w:leftChars="0" w:right="0" w:firstLine="640" w:firstLineChars="200"/>
        <w:textAlignment w:val="auto"/>
        <w:rPr>
          <w:rFonts w:hint="default"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eastAsia="zh-CN"/>
        </w:rPr>
        <w:t>（</w:t>
      </w:r>
      <w:r>
        <w:rPr>
          <w:rFonts w:hint="eastAsia" w:ascii="楷体_GB2312" w:hAnsi="楷体_GB2312" w:eastAsia="楷体_GB2312" w:cs="楷体_GB2312"/>
          <w:color w:val="000000"/>
          <w:sz w:val="32"/>
          <w:szCs w:val="32"/>
          <w:lang w:val="en-US" w:eastAsia="zh-CN"/>
        </w:rPr>
        <w:t>一</w:t>
      </w:r>
      <w:r>
        <w:rPr>
          <w:rFonts w:hint="eastAsia" w:ascii="楷体_GB2312" w:hAnsi="楷体_GB2312" w:eastAsia="楷体_GB2312" w:cs="楷体_GB2312"/>
          <w:color w:val="000000"/>
          <w:sz w:val="32"/>
          <w:szCs w:val="32"/>
          <w:lang w:eastAsia="zh-CN"/>
        </w:rPr>
        <w:t>）</w:t>
      </w:r>
      <w:r>
        <w:rPr>
          <w:rFonts w:hint="eastAsia" w:ascii="楷体_GB2312" w:hAnsi="楷体_GB2312" w:eastAsia="楷体_GB2312" w:cs="楷体_GB2312"/>
          <w:color w:val="000000"/>
          <w:sz w:val="32"/>
          <w:szCs w:val="32"/>
          <w:lang w:val="en-US" w:eastAsia="zh-CN"/>
        </w:rPr>
        <w:t>强化思想引领，夯实法治建设根基</w:t>
      </w:r>
    </w:p>
    <w:p>
      <w:pPr>
        <w:keepNext w:val="0"/>
        <w:keepLines w:val="0"/>
        <w:pageBreakBefore w:val="0"/>
        <w:widowControl w:val="0"/>
        <w:kinsoku/>
        <w:wordWrap/>
        <w:overflowPunct/>
        <w:topLinePunct w:val="0"/>
        <w:autoSpaceDE/>
        <w:bidi w:val="0"/>
        <w:adjustRightInd/>
        <w:snapToGrid/>
        <w:spacing w:beforeAutospacing="0" w:afterAutospacing="0" w:line="560" w:lineRule="exact"/>
        <w:ind w:left="0" w:leftChars="0" w:right="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一是深入学习贯彻</w:t>
      </w:r>
      <w:r>
        <w:rPr>
          <w:rFonts w:hint="eastAsia" w:ascii="仿宋_GB2312" w:hAnsi="仿宋_GB2312" w:eastAsia="仿宋_GB2312" w:cs="仿宋_GB2312"/>
          <w:b/>
          <w:bCs/>
          <w:sz w:val="32"/>
          <w:szCs w:val="32"/>
        </w:rPr>
        <w:t>习近平法治思想</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rPr>
        <w:t>将习近平法治思想纳入党组理论学习中心组年度重要内容，制定学习计划，明确</w:t>
      </w:r>
      <w:r>
        <w:rPr>
          <w:rFonts w:hint="eastAsia" w:ascii="仿宋_GB2312" w:hAnsi="仿宋_GB2312" w:eastAsia="仿宋_GB2312" w:cs="仿宋_GB2312"/>
          <w:sz w:val="32"/>
          <w:szCs w:val="32"/>
        </w:rPr>
        <w:t>党组理论学习中心组专题学习习近平法治思想</w:t>
      </w:r>
      <w:r>
        <w:rPr>
          <w:rFonts w:hint="eastAsia" w:ascii="仿宋_GB2312" w:hAnsi="仿宋_GB2312" w:eastAsia="仿宋_GB2312" w:cs="仿宋_GB2312"/>
          <w:sz w:val="32"/>
          <w:szCs w:val="32"/>
          <w:lang w:val="en-US" w:eastAsia="zh-CN"/>
        </w:rPr>
        <w:t>每年不少于两次。着</w:t>
      </w:r>
      <w:r>
        <w:rPr>
          <w:rFonts w:hint="eastAsia" w:ascii="仿宋_GB2312" w:hAnsi="仿宋_GB2312" w:eastAsia="仿宋_GB2312" w:cs="仿宋_GB2312"/>
          <w:sz w:val="32"/>
          <w:szCs w:val="32"/>
        </w:rPr>
        <w:t>重对《习近平法治思想学习纲要》《习近平法治思想学习问答》等进行深入学习，党组成员就学习习近平法治思想情况进行交流研讨。</w:t>
      </w:r>
      <w:r>
        <w:rPr>
          <w:rFonts w:hint="eastAsia" w:ascii="仿宋_GB2312" w:hAnsi="仿宋_GB2312" w:eastAsia="仿宋_GB2312" w:cs="仿宋_GB2312"/>
          <w:sz w:val="32"/>
          <w:szCs w:val="32"/>
          <w:lang w:val="en-US" w:eastAsia="zh-CN"/>
        </w:rPr>
        <w:t>开展主题党日活动，引导党员干部增强深悟践行习近平法治思想的自觉性和坚定性。</w:t>
      </w:r>
    </w:p>
    <w:p>
      <w:pPr>
        <w:keepNext w:val="0"/>
        <w:keepLines w:val="0"/>
        <w:pageBreakBefore w:val="0"/>
        <w:widowControl w:val="0"/>
        <w:kinsoku/>
        <w:wordWrap/>
        <w:overflowPunct/>
        <w:topLinePunct w:val="0"/>
        <w:autoSpaceDE/>
        <w:bidi w:val="0"/>
        <w:adjustRightInd/>
        <w:snapToGrid/>
        <w:spacing w:beforeAutospacing="0" w:afterAutospacing="0" w:line="560" w:lineRule="exact"/>
        <w:ind w:left="0" w:leftChars="0" w:right="0" w:firstLine="643"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二是压实主体责任。</w:t>
      </w:r>
      <w:r>
        <w:rPr>
          <w:rFonts w:hint="eastAsia" w:ascii="仿宋_GB2312" w:hAnsi="仿宋_GB2312" w:eastAsia="仿宋_GB2312" w:cs="仿宋_GB2312"/>
          <w:kern w:val="0"/>
          <w:sz w:val="32"/>
          <w:szCs w:val="32"/>
          <w:lang w:val="en-US" w:eastAsia="zh-CN"/>
        </w:rPr>
        <w:t>严格落实党政主要负责人推进法治建设第一责任人职责，将法治建设与业务工作同部署、同推进、同考核。局党组定期听取法治建设工作汇报，</w:t>
      </w:r>
      <w:r>
        <w:rPr>
          <w:rFonts w:hint="eastAsia" w:ascii="仿宋_GB2312" w:hAnsi="仿宋_GB2312" w:eastAsia="仿宋_GB2312" w:cs="仿宋_GB2312"/>
          <w:sz w:val="32"/>
          <w:szCs w:val="32"/>
          <w:lang w:val="en-US" w:eastAsia="zh-CN"/>
        </w:rPr>
        <w:t>研究法治建设工作</w:t>
      </w:r>
      <w:r>
        <w:rPr>
          <w:rFonts w:hint="default" w:ascii="Times New Roman" w:hAnsi="Times New Roman" w:eastAsia="仿宋_GB2312" w:cs="Times New Roman"/>
          <w:sz w:val="32"/>
          <w:szCs w:val="32"/>
          <w:lang w:val="en-US" w:eastAsia="zh-CN"/>
        </w:rPr>
        <w:t>7</w:t>
      </w:r>
      <w:r>
        <w:rPr>
          <w:rFonts w:hint="eastAsia" w:ascii="仿宋_GB2312" w:hAnsi="仿宋_GB2312" w:eastAsia="仿宋_GB2312" w:cs="仿宋_GB2312"/>
          <w:sz w:val="32"/>
          <w:szCs w:val="32"/>
          <w:lang w:val="en-US" w:eastAsia="zh-CN"/>
        </w:rPr>
        <w:t>次，审议年度法治政府建设工作报告等重要文件，明确法治建设重点任务和推进措施。将法治建设纳入本单位总体发展规划，确保法治建设始终服务于中心工作</w:t>
      </w:r>
      <w:r>
        <w:rPr>
          <w:rFonts w:hint="eastAsia" w:ascii="仿宋_GB2312" w:hAnsi="仿宋_GB2312" w:eastAsia="仿宋_GB2312" w:cs="仿宋_GB2312"/>
          <w:kern w:val="0"/>
          <w:sz w:val="32"/>
          <w:szCs w:val="32"/>
          <w:lang w:val="en-US" w:eastAsia="zh-CN"/>
        </w:rPr>
        <w:t>。全面推行领导班子“述法”全覆盖，带动形成尊法学法守法用法浓厚氛围，全年干部职工学法用法考试覆盖率、合格率均实现</w:t>
      </w:r>
      <w:r>
        <w:rPr>
          <w:rFonts w:hint="default" w:ascii="Times New Roman" w:hAnsi="Times New Roman" w:eastAsia="仿宋_GB2312" w:cs="Times New Roman"/>
          <w:kern w:val="0"/>
          <w:sz w:val="32"/>
          <w:szCs w:val="32"/>
          <w:lang w:val="en-US" w:eastAsia="zh-CN"/>
        </w:rPr>
        <w:t>100%。</w:t>
      </w:r>
    </w:p>
    <w:p>
      <w:pPr>
        <w:keepNext w:val="0"/>
        <w:keepLines w:val="0"/>
        <w:pageBreakBefore w:val="0"/>
        <w:widowControl w:val="0"/>
        <w:kinsoku/>
        <w:wordWrap/>
        <w:overflowPunct/>
        <w:topLinePunct w:val="0"/>
        <w:autoSpaceDE/>
        <w:bidi w:val="0"/>
        <w:adjustRightInd/>
        <w:snapToGrid/>
        <w:spacing w:beforeAutospacing="0" w:afterAutospacing="0" w:line="560" w:lineRule="exact"/>
        <w:ind w:left="0" w:leftChars="0" w:right="0" w:firstLine="643" w:firstLineChars="200"/>
        <w:textAlignment w:val="auto"/>
        <w:rPr>
          <w:rFonts w:hint="eastAsia"/>
          <w:lang w:val="en-US" w:eastAsia="zh-CN"/>
        </w:rPr>
      </w:pP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bCs/>
          <w:kern w:val="0"/>
          <w:sz w:val="32"/>
          <w:szCs w:val="32"/>
          <w:lang w:val="en-US" w:eastAsia="zh-CN"/>
        </w:rPr>
        <w:t>提升执法人员法治素养</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rPr>
        <w:t>组织内部“大讲堂”活动，对不同领域分专题组织业务研讨，</w:t>
      </w:r>
      <w:r>
        <w:rPr>
          <w:rFonts w:hint="eastAsia" w:ascii="仿宋_GB2312" w:hAnsi="仿宋_GB2312" w:eastAsia="仿宋_GB2312" w:cs="仿宋_GB2312"/>
          <w:sz w:val="32"/>
          <w:szCs w:val="32"/>
          <w:lang w:val="en-US" w:eastAsia="zh-CN"/>
        </w:rPr>
        <w:t>组织各业务条线</w:t>
      </w:r>
      <w:r>
        <w:rPr>
          <w:rFonts w:hint="eastAsia" w:ascii="仿宋_GB2312" w:hAnsi="仿宋_GB2312" w:eastAsia="仿宋_GB2312" w:cs="仿宋_GB2312"/>
          <w:sz w:val="32"/>
          <w:szCs w:val="32"/>
        </w:rPr>
        <w:t>执法办案能手轮流上台，就本领域常见高发、举报相对集中的案件，解读法规、传授技巧、分享经验，让执法人员基本具备查办其他领域常见案件的能力。开办全系统“大家谈”活动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邀请执法能手、办案专家面向全系统执法人员授课，提升发现、应对、查办疑难复杂案件的能力和水平，提升执法效能</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1"/>
        </w:numPr>
        <w:kinsoku/>
        <w:wordWrap/>
        <w:overflowPunct/>
        <w:topLinePunct w:val="0"/>
        <w:autoSpaceDE/>
        <w:bidi w:val="0"/>
        <w:adjustRightInd/>
        <w:snapToGrid/>
        <w:spacing w:before="0" w:beforeLines="0" w:beforeAutospacing="0" w:after="0" w:afterLines="0" w:afterAutospacing="0" w:line="560" w:lineRule="exact"/>
        <w:ind w:left="0" w:leftChars="0" w:right="0" w:firstLine="640" w:firstLineChars="200"/>
        <w:jc w:val="both"/>
        <w:textAlignment w:val="auto"/>
        <w:rPr>
          <w:rFonts w:hint="eastAsia" w:ascii="楷体_GB2312" w:hAnsi="楷体_GB2312" w:eastAsia="楷体_GB2312" w:cs="楷体_GB2312"/>
          <w:b w:val="0"/>
          <w:bCs/>
          <w:color w:val="000000"/>
          <w:sz w:val="32"/>
          <w:szCs w:val="32"/>
          <w:lang w:eastAsia="zh-CN"/>
        </w:rPr>
      </w:pPr>
      <w:r>
        <w:rPr>
          <w:rFonts w:hint="eastAsia" w:ascii="楷体_GB2312" w:hAnsi="楷体_GB2312" w:eastAsia="楷体_GB2312" w:cs="楷体_GB2312"/>
          <w:b w:val="0"/>
          <w:bCs/>
          <w:color w:val="000000"/>
          <w:sz w:val="32"/>
          <w:szCs w:val="32"/>
        </w:rPr>
        <w:t>强化</w:t>
      </w:r>
      <w:r>
        <w:rPr>
          <w:rFonts w:hint="eastAsia" w:ascii="楷体_GB2312" w:hAnsi="楷体_GB2312" w:eastAsia="楷体_GB2312" w:cs="楷体_GB2312"/>
          <w:b w:val="0"/>
          <w:bCs/>
          <w:sz w:val="32"/>
          <w:szCs w:val="32"/>
        </w:rPr>
        <w:t>法治</w:t>
      </w:r>
      <w:r>
        <w:rPr>
          <w:rFonts w:hint="eastAsia" w:ascii="楷体_GB2312" w:hAnsi="楷体_GB2312" w:eastAsia="楷体_GB2312" w:cs="楷体_GB2312"/>
          <w:b w:val="0"/>
          <w:bCs/>
          <w:sz w:val="32"/>
          <w:szCs w:val="32"/>
          <w:lang w:eastAsia="zh-CN"/>
        </w:rPr>
        <w:t>引领</w:t>
      </w:r>
      <w:r>
        <w:rPr>
          <w:rFonts w:hint="eastAsia" w:ascii="楷体_GB2312" w:hAnsi="楷体_GB2312" w:eastAsia="楷体_GB2312" w:cs="楷体_GB2312"/>
          <w:b w:val="0"/>
          <w:bCs/>
          <w:color w:val="000000"/>
          <w:sz w:val="32"/>
          <w:szCs w:val="32"/>
        </w:rPr>
        <w:t>，</w:t>
      </w:r>
      <w:r>
        <w:rPr>
          <w:rFonts w:hint="eastAsia" w:ascii="楷体_GB2312" w:hAnsi="楷体_GB2312" w:eastAsia="楷体_GB2312" w:cs="楷体_GB2312"/>
          <w:b w:val="0"/>
          <w:bCs/>
          <w:color w:val="000000"/>
          <w:sz w:val="32"/>
          <w:szCs w:val="32"/>
          <w:lang w:eastAsia="zh-CN"/>
        </w:rPr>
        <w:t>培育依法行政理念</w:t>
      </w:r>
    </w:p>
    <w:p>
      <w:pPr>
        <w:keepNext w:val="0"/>
        <w:keepLines w:val="0"/>
        <w:pageBreakBefore w:val="0"/>
        <w:widowControl w:val="0"/>
        <w:kinsoku/>
        <w:wordWrap/>
        <w:overflowPunct/>
        <w:topLinePunct w:val="0"/>
        <w:autoSpaceDE/>
        <w:bidi w:val="0"/>
        <w:adjustRightInd/>
        <w:snapToGrid/>
        <w:spacing w:beforeAutospacing="0" w:afterAutospacing="0" w:line="560" w:lineRule="exact"/>
        <w:ind w:left="0" w:leftChars="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一是推动重点领域立法。</w:t>
      </w:r>
      <w:r>
        <w:rPr>
          <w:rFonts w:hint="eastAsia" w:ascii="仿宋_GB2312" w:hAnsi="仿宋_GB2312" w:eastAsia="仿宋_GB2312" w:cs="仿宋_GB2312"/>
          <w:sz w:val="32"/>
          <w:szCs w:val="32"/>
        </w:rPr>
        <w:t>全国首部品牌促进立法《青岛市品牌建设促进条例》于</w:t>
      </w:r>
      <w:r>
        <w:rPr>
          <w:rFonts w:hint="default"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rPr>
        <w:t>年5月</w:t>
      </w:r>
      <w:r>
        <w:rPr>
          <w:rFonts w:hint="default" w:ascii="Times New Roman" w:hAnsi="Times New Roman" w:eastAsia="仿宋_GB2312" w:cs="Times New Roman"/>
          <w:sz w:val="32"/>
          <w:szCs w:val="32"/>
          <w:lang w:val="en-US" w:eastAsia="zh-CN"/>
        </w:rPr>
        <w:t>1日</w:t>
      </w:r>
      <w:r>
        <w:rPr>
          <w:rFonts w:hint="eastAsia" w:ascii="仿宋_GB2312" w:hAnsi="仿宋_GB2312" w:eastAsia="仿宋_GB2312" w:cs="仿宋_GB2312"/>
          <w:sz w:val="32"/>
          <w:szCs w:val="32"/>
        </w:rPr>
        <w:t>正式实施。</w:t>
      </w:r>
      <w:r>
        <w:rPr>
          <w:rFonts w:hint="eastAsia" w:ascii="仿宋_GB2312" w:hAnsi="仿宋_GB2312" w:eastAsia="仿宋_GB2312" w:cs="仿宋_GB2312"/>
          <w:sz w:val="32"/>
          <w:szCs w:val="32"/>
          <w:lang w:val="en-US" w:eastAsia="zh-CN"/>
        </w:rPr>
        <w:t>通过</w:t>
      </w:r>
      <w:r>
        <w:rPr>
          <w:rFonts w:hint="eastAsia" w:ascii="仿宋_GB2312" w:hAnsi="仿宋_GB2312" w:eastAsia="仿宋_GB2312" w:cs="仿宋_GB2312"/>
          <w:sz w:val="32"/>
          <w:szCs w:val="32"/>
        </w:rPr>
        <w:t>市政府新闻发布会</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lang w:val="en-US" w:eastAsia="zh-CN"/>
        </w:rPr>
        <w:t>期</w:t>
      </w:r>
      <w:r>
        <w:rPr>
          <w:rFonts w:hint="eastAsia" w:ascii="仿宋_GB2312" w:hAnsi="仿宋_GB2312" w:eastAsia="仿宋_GB2312" w:cs="仿宋_GB2312"/>
          <w:sz w:val="32"/>
          <w:szCs w:val="32"/>
        </w:rPr>
        <w:t>专场培训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动画短视频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邀请专家专题解读等多种方式提升新法普及程度</w:t>
      </w:r>
      <w:r>
        <w:rPr>
          <w:rFonts w:hint="eastAsia" w:ascii="仿宋_GB2312" w:hAnsi="仿宋_GB2312" w:eastAsia="仿宋_GB2312" w:cs="仿宋_GB2312"/>
          <w:sz w:val="32"/>
          <w:szCs w:val="32"/>
        </w:rPr>
        <w:t>。组织开展</w:t>
      </w:r>
      <w:r>
        <w:rPr>
          <w:rFonts w:hint="eastAsia" w:ascii="仿宋_GB2312" w:eastAsia="仿宋_GB2312"/>
          <w:sz w:val="32"/>
          <w:szCs w:val="32"/>
        </w:rPr>
        <w:t>《青岛市电梯安全监督管理办法》</w:t>
      </w:r>
      <w:r>
        <w:rPr>
          <w:rFonts w:ascii="仿宋_GB2312" w:hAnsi="仿宋_GB2312" w:eastAsia="仿宋_GB2312" w:cs="仿宋_GB2312"/>
          <w:sz w:val="32"/>
          <w:szCs w:val="32"/>
        </w:rPr>
        <w:t>《青岛市公共信息图形标志管理办法》</w:t>
      </w:r>
      <w:r>
        <w:rPr>
          <w:rFonts w:hint="eastAsia" w:ascii="仿宋_GB2312" w:hAnsi="仿宋_GB2312" w:eastAsia="仿宋_GB2312" w:cs="仿宋_GB2312"/>
          <w:sz w:val="32"/>
          <w:szCs w:val="32"/>
        </w:rPr>
        <w:t>修订调研</w:t>
      </w:r>
      <w:r>
        <w:rPr>
          <w:rFonts w:hint="eastAsia" w:ascii="仿宋_GB2312" w:eastAsia="仿宋_GB2312" w:cs="黑体"/>
          <w:color w:val="auto"/>
          <w:kern w:val="2"/>
          <w:sz w:val="32"/>
          <w:szCs w:val="32"/>
          <w:lang w:val="en-US" w:eastAsia="zh-CN" w:bidi="ar-SA"/>
        </w:rPr>
        <w:t>，</w:t>
      </w:r>
      <w:r>
        <w:rPr>
          <w:rFonts w:hint="eastAsia" w:ascii="仿宋_GB2312" w:hAnsi="仿宋_GB2312" w:eastAsia="仿宋_GB2312" w:cs="仿宋_GB2312"/>
          <w:sz w:val="32"/>
          <w:szCs w:val="32"/>
        </w:rPr>
        <w:t>高质量完成调研报告。</w:t>
      </w:r>
    </w:p>
    <w:p>
      <w:pPr>
        <w:keepNext w:val="0"/>
        <w:keepLines w:val="0"/>
        <w:pageBreakBefore w:val="0"/>
        <w:widowControl w:val="0"/>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42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val="0"/>
          <w:bCs/>
          <w:lang w:val="en-US" w:eastAsia="zh-CN"/>
        </w:rPr>
        <w:t xml:space="preserve">   </w:t>
      </w:r>
      <w:r>
        <w:rPr>
          <w:rFonts w:hint="eastAsia" w:ascii="仿宋_GB2312" w:hAnsi="仿宋_GB2312" w:eastAsia="仿宋_GB2312" w:cs="仿宋_GB2312"/>
          <w:b/>
          <w:bCs w:val="0"/>
          <w:color w:val="000000"/>
          <w:kern w:val="0"/>
          <w:sz w:val="32"/>
          <w:szCs w:val="32"/>
          <w:highlight w:val="none"/>
          <w:lang w:val="en-US" w:eastAsia="zh-CN"/>
        </w:rPr>
        <w:t>二是健全规范权力运行。</w:t>
      </w:r>
      <w:r>
        <w:rPr>
          <w:rFonts w:hint="default" w:ascii="Times New Roman" w:hAnsi="Times New Roman" w:eastAsia="仿宋_GB2312" w:cs="Times New Roman"/>
          <w:sz w:val="32"/>
          <w:szCs w:val="32"/>
          <w:lang w:val="en-US" w:eastAsia="zh-CN"/>
        </w:rPr>
        <w:t>2025年共调整权责清单事项19项，调整后的清单事项847</w:t>
      </w:r>
      <w:r>
        <w:rPr>
          <w:rFonts w:hint="eastAsia" w:ascii="仿宋_GB2312" w:hAnsi="仿宋_GB2312" w:eastAsia="仿宋_GB2312" w:cs="仿宋_GB2312"/>
          <w:sz w:val="32"/>
          <w:szCs w:val="32"/>
          <w:lang w:val="en-US" w:eastAsia="zh-CN"/>
        </w:rPr>
        <w:t>项，推动各部门履职尽责。积极参与沿海六市统一动态裁量体系通用规则制定工作，探索构建跨区域协同裁量机制。</w:t>
      </w:r>
      <w:r>
        <w:rPr>
          <w:rFonts w:hint="eastAsia" w:ascii="仿宋_GB2312" w:hAnsi="仿宋_GB2312" w:eastAsia="仿宋_GB2312" w:cs="仿宋_GB2312"/>
          <w:b w:val="0"/>
          <w:bCs w:val="0"/>
          <w:sz w:val="32"/>
          <w:szCs w:val="32"/>
        </w:rPr>
        <w:t>贯彻落实《公平竞争审查条例》</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修订</w:t>
      </w:r>
      <w:r>
        <w:rPr>
          <w:rFonts w:ascii="仿宋_GB2312" w:hAnsi="仿宋_GB2312" w:eastAsia="仿宋_GB2312" w:cs="仿宋_GB2312"/>
          <w:sz w:val="32"/>
          <w:szCs w:val="32"/>
        </w:rPr>
        <w:t>《青岛市公平竞争审查会同审查工作指引》</w:t>
      </w:r>
      <w:r>
        <w:rPr>
          <w:rFonts w:hint="eastAsia" w:ascii="仿宋_GB2312" w:hAnsi="仿宋_GB2312" w:eastAsia="仿宋_GB2312" w:cs="仿宋_GB2312"/>
          <w:sz w:val="32"/>
          <w:szCs w:val="32"/>
        </w:rPr>
        <w:t>，进一步明确重大政策措施会同审查范围、流程、标准。督促指导各相关单位严格落实增量政策审查和存量政策清理责任，提升公平竞争审查工作质效</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3"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sz w:val="32"/>
          <w:szCs w:val="32"/>
          <w:lang w:val="en-US" w:eastAsia="zh-CN"/>
        </w:rPr>
        <w:t>三是强化普法宣传。</w:t>
      </w:r>
      <w:r>
        <w:rPr>
          <w:rFonts w:hint="eastAsia" w:ascii="仿宋_GB2312" w:hAnsi="仿宋_GB2312" w:eastAsia="仿宋_GB2312" w:cs="仿宋_GB2312"/>
          <w:sz w:val="32"/>
          <w:szCs w:val="32"/>
          <w:lang w:val="en-US" w:eastAsia="zh-CN"/>
        </w:rPr>
        <w:t>制定普法责任清单，将普法融入服务监管全过程。</w:t>
      </w:r>
      <w:r>
        <w:rPr>
          <w:rFonts w:hint="eastAsia" w:ascii="仿宋_GB2312" w:hAnsi="仿宋_GB2312" w:eastAsia="仿宋_GB2312" w:cs="仿宋_GB2312"/>
          <w:b w:val="0"/>
          <w:bCs/>
          <w:color w:val="000000"/>
          <w:kern w:val="0"/>
          <w:sz w:val="32"/>
          <w:szCs w:val="32"/>
          <w:lang w:eastAsia="zh-CN"/>
        </w:rPr>
        <w:t>创新</w:t>
      </w:r>
      <w:r>
        <w:rPr>
          <w:rFonts w:hint="eastAsia" w:ascii="仿宋_GB2312" w:hAnsi="仿宋_GB2312" w:eastAsia="仿宋_GB2312" w:cs="仿宋_GB2312"/>
          <w:b w:val="0"/>
          <w:bCs/>
          <w:color w:val="000000"/>
          <w:kern w:val="0"/>
          <w:sz w:val="32"/>
          <w:szCs w:val="32"/>
        </w:rPr>
        <w:t>开展</w:t>
      </w:r>
      <w:r>
        <w:rPr>
          <w:rFonts w:hint="eastAsia" w:ascii="仿宋_GB2312" w:hAnsi="仿宋_GB2312" w:eastAsia="仿宋_GB2312" w:cs="仿宋_GB2312"/>
          <w:b w:val="0"/>
          <w:bCs/>
          <w:color w:val="000000"/>
          <w:kern w:val="0"/>
          <w:sz w:val="32"/>
          <w:szCs w:val="32"/>
          <w:lang w:val="en-US" w:eastAsia="zh-CN"/>
        </w:rPr>
        <w:t>网约配送</w:t>
      </w:r>
      <w:r>
        <w:rPr>
          <w:rFonts w:hint="eastAsia" w:ascii="仿宋_GB2312" w:hAnsi="仿宋_GB2312" w:eastAsia="仿宋_GB2312" w:cs="仿宋_GB2312"/>
          <w:b w:val="0"/>
          <w:bCs/>
          <w:color w:val="000000"/>
          <w:kern w:val="0"/>
          <w:sz w:val="32"/>
          <w:szCs w:val="32"/>
        </w:rPr>
        <w:t>行业法律维权服务站建设试点</w:t>
      </w:r>
      <w:r>
        <w:rPr>
          <w:rFonts w:hint="eastAsia" w:ascii="仿宋_GB2312" w:hAnsi="仿宋_GB2312" w:eastAsia="仿宋_GB2312" w:cs="仿宋_GB2312"/>
          <w:b w:val="0"/>
          <w:bCs/>
          <w:color w:val="000000"/>
          <w:kern w:val="0"/>
          <w:sz w:val="32"/>
          <w:szCs w:val="32"/>
          <w:lang w:eastAsia="zh-CN"/>
        </w:rPr>
        <w:t>，</w:t>
      </w:r>
      <w:r>
        <w:rPr>
          <w:rFonts w:hint="eastAsia" w:ascii="仿宋_GB2312" w:hAnsi="仿宋_GB2312" w:eastAsia="仿宋_GB2312" w:cs="仿宋_GB2312"/>
          <w:b w:val="0"/>
          <w:bCs/>
          <w:color w:val="000000"/>
          <w:kern w:val="0"/>
          <w:sz w:val="32"/>
          <w:szCs w:val="32"/>
        </w:rPr>
        <w:t>整合市场监管、</w:t>
      </w:r>
      <w:r>
        <w:rPr>
          <w:rFonts w:hint="eastAsia" w:ascii="仿宋_GB2312" w:hAnsi="仿宋_GB2312" w:eastAsia="仿宋_GB2312" w:cs="仿宋_GB2312"/>
          <w:b w:val="0"/>
          <w:bCs/>
          <w:color w:val="000000"/>
          <w:kern w:val="0"/>
          <w:sz w:val="32"/>
          <w:szCs w:val="32"/>
          <w:lang w:val="en-US" w:eastAsia="zh-CN"/>
        </w:rPr>
        <w:t>律所</w:t>
      </w:r>
      <w:r>
        <w:rPr>
          <w:rFonts w:hint="eastAsia" w:ascii="仿宋_GB2312" w:hAnsi="仿宋_GB2312" w:eastAsia="仿宋_GB2312" w:cs="仿宋_GB2312"/>
          <w:b w:val="0"/>
          <w:bCs/>
          <w:color w:val="000000"/>
          <w:kern w:val="0"/>
          <w:sz w:val="32"/>
          <w:szCs w:val="32"/>
        </w:rPr>
        <w:t>、平台企业、行业协会等多方资源，打造“一站式”普法维权服务平台</w:t>
      </w:r>
      <w:r>
        <w:rPr>
          <w:rFonts w:hint="eastAsia" w:ascii="仿宋_GB2312" w:hAnsi="仿宋_GB2312" w:eastAsia="仿宋_GB2312" w:cs="仿宋_GB2312"/>
          <w:b w:val="0"/>
          <w:bCs/>
          <w:color w:val="000000"/>
          <w:kern w:val="0"/>
          <w:sz w:val="32"/>
          <w:szCs w:val="32"/>
          <w:lang w:eastAsia="zh-CN"/>
        </w:rPr>
        <w:t>。</w:t>
      </w:r>
      <w:r>
        <w:rPr>
          <w:rFonts w:hint="eastAsia" w:ascii="仿宋_GB2312" w:hAnsi="仿宋_GB2312" w:eastAsia="仿宋_GB2312" w:cs="仿宋_GB2312"/>
          <w:b w:val="0"/>
          <w:bCs w:val="0"/>
          <w:color w:val="auto"/>
          <w:sz w:val="32"/>
          <w:szCs w:val="32"/>
          <w:lang w:val="en-US" w:eastAsia="zh-CN"/>
        </w:rPr>
        <w:t>运用“报、网、端、微、屏”等媒体平台，</w:t>
      </w:r>
      <w:r>
        <w:rPr>
          <w:rFonts w:hint="eastAsia" w:ascii="仿宋_GB2312" w:hAnsi="仿宋_GB2312" w:eastAsia="仿宋_GB2312" w:cs="仿宋_GB2312"/>
          <w:color w:val="auto"/>
          <w:kern w:val="0"/>
          <w:sz w:val="32"/>
          <w:szCs w:val="32"/>
          <w:lang w:val="en-US" w:eastAsia="zh-CN"/>
        </w:rPr>
        <w:t>打造多元化、立体化的市场监管普法传播矩阵，</w:t>
      </w:r>
      <w:r>
        <w:rPr>
          <w:rFonts w:hint="eastAsia" w:ascii="仿宋_GB2312" w:hAnsi="仿宋_GB2312" w:eastAsia="仿宋_GB2312" w:cs="仿宋_GB2312"/>
          <w:b w:val="0"/>
          <w:bCs w:val="0"/>
          <w:color w:val="auto"/>
          <w:sz w:val="32"/>
          <w:szCs w:val="32"/>
          <w:lang w:val="en-US" w:eastAsia="zh-CN"/>
        </w:rPr>
        <w:t>推动普法宣传常态化、制度化。</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（三）聚焦执法为民，优化法治化营商环境</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一是深入推行“服务型执法”。</w:t>
      </w:r>
      <w:r>
        <w:rPr>
          <w:rFonts w:hint="default" w:ascii="Times New Roman" w:hAnsi="Times New Roman" w:eastAsia="仿宋_GB2312" w:cs="Times New Roman"/>
          <w:b w:val="0"/>
          <w:bCs w:val="0"/>
          <w:sz w:val="32"/>
          <w:szCs w:val="32"/>
          <w:lang w:val="en-US" w:eastAsia="zh-CN"/>
        </w:rPr>
        <w:t>2025年3</w:t>
      </w:r>
      <w:r>
        <w:rPr>
          <w:rFonts w:hint="eastAsia" w:ascii="仿宋_GB2312" w:hAnsi="仿宋_GB2312" w:eastAsia="仿宋_GB2312" w:cs="仿宋_GB2312"/>
          <w:b w:val="0"/>
          <w:bCs w:val="0"/>
          <w:sz w:val="32"/>
          <w:szCs w:val="32"/>
          <w:lang w:val="en-US" w:eastAsia="zh-CN"/>
        </w:rPr>
        <w:t>月，</w:t>
      </w:r>
      <w:r>
        <w:rPr>
          <w:rFonts w:hint="eastAsia" w:ascii="仿宋_GB2312" w:hAnsi="仿宋_GB2312" w:eastAsia="仿宋_GB2312" w:cs="仿宋_GB2312"/>
          <w:b w:val="0"/>
          <w:bCs w:val="0"/>
          <w:kern w:val="0"/>
          <w:sz w:val="32"/>
          <w:szCs w:val="32"/>
          <w:highlight w:val="none"/>
          <w:lang w:val="en-US" w:eastAsia="zh-CN"/>
        </w:rPr>
        <w:t>全国市场监管服务型执法现场推进会暨执法稽查工作座谈会在青岛顺利召开，</w:t>
      </w:r>
      <w:r>
        <w:rPr>
          <w:rFonts w:hint="eastAsia" w:ascii="仿宋_GB2312" w:hAnsi="仿宋_GB2312" w:eastAsia="仿宋_GB2312" w:cs="仿宋_GB2312"/>
          <w:color w:val="auto"/>
          <w:sz w:val="32"/>
          <w:szCs w:val="32"/>
          <w:lang w:val="en-US" w:eastAsia="zh-CN"/>
        </w:rPr>
        <w:t>推广</w:t>
      </w:r>
      <w:r>
        <w:rPr>
          <w:rFonts w:hint="eastAsia" w:ascii="仿宋_GB2312" w:hAnsi="仿宋_GB2312" w:eastAsia="仿宋_GB2312" w:cs="仿宋_GB2312"/>
          <w:b w:val="0"/>
          <w:bCs w:val="0"/>
          <w:kern w:val="0"/>
          <w:sz w:val="32"/>
          <w:szCs w:val="32"/>
          <w:highlight w:val="none"/>
          <w:lang w:val="en-US" w:eastAsia="zh-CN"/>
        </w:rPr>
        <w:t>我市服务型执法经验</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rPr>
        <w:t>注重从重大案件和重点任务中挖掘、提炼优秀实践成果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通过多渠道收集素材、多维度总结提炼，持续展现执法的服务属性和社会价值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共征集全市系统服务型执法典型案例</w:t>
      </w:r>
      <w:r>
        <w:rPr>
          <w:rFonts w:hint="default" w:ascii="Times New Roman" w:hAnsi="Times New Roman" w:eastAsia="仿宋_GB2312" w:cs="Times New Roman"/>
          <w:sz w:val="32"/>
          <w:szCs w:val="32"/>
        </w:rPr>
        <w:t>25件，择优向上级报送4件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2件案件</w:t>
      </w:r>
      <w:r>
        <w:rPr>
          <w:rFonts w:hint="default" w:ascii="Times New Roman" w:hAnsi="Times New Roman" w:eastAsia="仿宋_GB2312" w:cs="Times New Roman"/>
          <w:sz w:val="32"/>
          <w:szCs w:val="32"/>
        </w:rPr>
        <w:t>获评总局典型案例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2个</w:t>
      </w:r>
      <w:r>
        <w:rPr>
          <w:rFonts w:hint="eastAsia" w:ascii="仿宋_GB2312" w:hAnsi="仿宋_GB2312" w:eastAsia="仿宋_GB2312" w:cs="仿宋_GB2312"/>
          <w:sz w:val="32"/>
          <w:szCs w:val="32"/>
          <w:lang w:val="en-US" w:eastAsia="zh-CN"/>
        </w:rPr>
        <w:t>模式做法写入总局工作简报</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二是持续优化政务服务。</w:t>
      </w:r>
      <w:r>
        <w:rPr>
          <w:rFonts w:hint="eastAsia" w:ascii="仿宋_GB2312" w:hAnsi="仿宋_GB2312" w:eastAsia="仿宋_GB2312" w:cs="仿宋_GB2312"/>
          <w:sz w:val="32"/>
          <w:szCs w:val="32"/>
        </w:rPr>
        <w:t>在“企业开办智能一体化平台”嵌入《外商投资准入特别管理措施（负面清单）》，方便外资企业选择适用的行业和经营范围，在各项登记政策上保持“内外资一致原则”。注册登记、信用修复等环节向社会作出公开承诺或自我声明，并加强信用约束和社会监督。截至</w:t>
      </w:r>
      <w:r>
        <w:rPr>
          <w:rFonts w:hint="default" w:ascii="Times New Roman" w:hAnsi="Times New Roman" w:eastAsia="仿宋_GB2312" w:cs="Times New Roman"/>
          <w:sz w:val="32"/>
          <w:szCs w:val="32"/>
          <w:lang w:val="en-US" w:eastAsia="zh-CN"/>
        </w:rPr>
        <w:t>2025</w:t>
      </w:r>
      <w:r>
        <w:rPr>
          <w:rFonts w:hint="eastAsia" w:ascii="仿宋_GB2312" w:hAnsi="仿宋_GB2312" w:eastAsia="仿宋_GB2312" w:cs="仿宋_GB2312"/>
          <w:sz w:val="32"/>
          <w:szCs w:val="32"/>
          <w:lang w:val="en-US" w:eastAsia="zh-CN"/>
        </w:rPr>
        <w:t>年年底</w:t>
      </w:r>
      <w:r>
        <w:rPr>
          <w:rFonts w:hint="eastAsia" w:ascii="仿宋_GB2312" w:hAnsi="仿宋_GB2312" w:eastAsia="仿宋_GB2312" w:cs="仿宋_GB2312"/>
          <w:sz w:val="32"/>
          <w:szCs w:val="32"/>
        </w:rPr>
        <w:t>，全市经营主体信用承诺达</w:t>
      </w:r>
      <w:r>
        <w:rPr>
          <w:rFonts w:hint="eastAsia" w:ascii="Times New Roman" w:hAnsi="Times New Roman" w:eastAsia="仿宋_GB2312" w:cs="Times New Roman"/>
          <w:sz w:val="32"/>
          <w:szCs w:val="32"/>
          <w:lang w:val="en-US" w:eastAsia="zh-CN"/>
        </w:rPr>
        <w:t>30.9</w:t>
      </w:r>
      <w:r>
        <w:rPr>
          <w:rFonts w:hint="default" w:ascii="Times New Roman" w:hAnsi="Times New Roman" w:eastAsia="仿宋_GB2312" w:cs="Times New Roman"/>
          <w:sz w:val="32"/>
          <w:szCs w:val="32"/>
        </w:rPr>
        <w:t>万户次，提供信用合规性查询服务</w:t>
      </w:r>
      <w:r>
        <w:rPr>
          <w:rFonts w:hint="eastAsia" w:ascii="Times New Roman" w:hAnsi="Times New Roman" w:eastAsia="仿宋_GB2312" w:cs="Times New Roman"/>
          <w:sz w:val="32"/>
          <w:szCs w:val="32"/>
          <w:lang w:val="en-US" w:eastAsia="zh-CN"/>
        </w:rPr>
        <w:t>1651</w:t>
      </w:r>
      <w:r>
        <w:rPr>
          <w:rFonts w:hint="default" w:ascii="Times New Roman" w:hAnsi="Times New Roman" w:eastAsia="仿宋_GB2312" w:cs="Times New Roman"/>
          <w:sz w:val="32"/>
          <w:szCs w:val="32"/>
        </w:rPr>
        <w:t>户次。对信用修复申请材料、文书格式进行了规范统一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截至</w:t>
      </w:r>
      <w:r>
        <w:rPr>
          <w:rFonts w:hint="eastAsia" w:ascii="Times New Roman" w:hAnsi="Times New Roman" w:eastAsia="仿宋_GB2312" w:cs="Times New Roman"/>
          <w:color w:val="auto"/>
          <w:sz w:val="32"/>
          <w:szCs w:val="32"/>
          <w:lang w:val="en-US" w:eastAsia="zh-CN"/>
        </w:rPr>
        <w:t>2025年底</w:t>
      </w:r>
      <w:r>
        <w:rPr>
          <w:rFonts w:hint="default" w:ascii="Times New Roman" w:hAnsi="Times New Roman" w:eastAsia="仿宋_GB2312" w:cs="Times New Roman"/>
          <w:color w:val="auto"/>
          <w:sz w:val="32"/>
          <w:szCs w:val="32"/>
        </w:rPr>
        <w:t>，共为全市经营主体提供信用修复</w:t>
      </w:r>
      <w:r>
        <w:rPr>
          <w:rFonts w:hint="eastAsia" w:ascii="Times New Roman" w:hAnsi="Times New Roman" w:eastAsia="仿宋_GB2312" w:cs="Times New Roman"/>
          <w:color w:val="auto"/>
          <w:sz w:val="32"/>
          <w:szCs w:val="32"/>
          <w:lang w:val="en-US" w:eastAsia="zh-CN"/>
        </w:rPr>
        <w:t>73770</w:t>
      </w:r>
      <w:r>
        <w:rPr>
          <w:rFonts w:hint="eastAsia" w:ascii="仿宋_GB2312" w:hAnsi="仿宋_GB2312" w:eastAsia="仿宋_GB2312" w:cs="仿宋_GB2312"/>
          <w:sz w:val="32"/>
          <w:szCs w:val="32"/>
        </w:rPr>
        <w:t>户次。</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bCs/>
          <w:sz w:val="32"/>
          <w:szCs w:val="32"/>
          <w:lang w:eastAsia="zh-CN"/>
        </w:rPr>
        <w:t>强化</w:t>
      </w:r>
      <w:r>
        <w:rPr>
          <w:rFonts w:hint="eastAsia" w:ascii="仿宋_GB2312" w:hAnsi="仿宋_GB2312" w:eastAsia="仿宋_GB2312" w:cs="仿宋_GB2312"/>
          <w:b/>
          <w:bCs/>
          <w:sz w:val="32"/>
          <w:szCs w:val="32"/>
        </w:rPr>
        <w:t>合规经营</w:t>
      </w:r>
      <w:r>
        <w:rPr>
          <w:rFonts w:hint="eastAsia" w:ascii="仿宋_GB2312" w:hAnsi="仿宋_GB2312" w:eastAsia="仿宋_GB2312" w:cs="仿宋_GB2312"/>
          <w:b/>
          <w:bCs/>
          <w:sz w:val="32"/>
          <w:szCs w:val="32"/>
          <w:lang w:eastAsia="zh-CN"/>
        </w:rPr>
        <w:t>指导。</w:t>
      </w:r>
      <w:r>
        <w:rPr>
          <w:rFonts w:hint="eastAsia" w:ascii="仿宋_GB2312" w:hAnsi="仿宋_GB2312" w:eastAsia="仿宋_GB2312" w:cs="仿宋_GB2312"/>
          <w:b w:val="0"/>
          <w:bCs/>
          <w:color w:val="auto"/>
          <w:sz w:val="32"/>
        </w:rPr>
        <w:t>编制食品小作坊、食品生产、医疗器械生产经营等重点行业</w:t>
      </w:r>
      <w:r>
        <w:rPr>
          <w:rFonts w:hint="default" w:ascii="Times New Roman" w:hAnsi="Times New Roman" w:eastAsia="仿宋_GB2312" w:cs="Times New Roman"/>
          <w:b w:val="0"/>
          <w:bCs/>
          <w:color w:val="auto"/>
          <w:sz w:val="32"/>
        </w:rPr>
        <w:t>15</w:t>
      </w:r>
      <w:r>
        <w:rPr>
          <w:rFonts w:hint="eastAsia" w:ascii="仿宋_GB2312" w:hAnsi="仿宋_GB2312" w:eastAsia="仿宋_GB2312" w:cs="仿宋_GB2312"/>
          <w:b w:val="0"/>
          <w:bCs/>
          <w:color w:val="auto"/>
          <w:sz w:val="32"/>
        </w:rPr>
        <w:t>类“一业一册”合规经营指引</w:t>
      </w:r>
      <w:r>
        <w:rPr>
          <w:rFonts w:hint="eastAsia" w:ascii="仿宋_GB2312" w:hAnsi="仿宋_GB2312" w:eastAsia="仿宋_GB2312" w:cs="仿宋_GB2312"/>
          <w:b w:val="0"/>
          <w:bCs/>
          <w:color w:val="auto"/>
          <w:sz w:val="32"/>
          <w:lang w:eastAsia="zh-CN"/>
        </w:rPr>
        <w:t>，助力企业健康成长</w:t>
      </w:r>
      <w:r>
        <w:rPr>
          <w:rFonts w:hint="eastAsia" w:ascii="仿宋_GB2312" w:hAnsi="仿宋_GB2312" w:eastAsia="仿宋_GB2312" w:cs="仿宋_GB2312"/>
          <w:b w:val="0"/>
          <w:bCs/>
          <w:color w:val="auto"/>
          <w:sz w:val="32"/>
        </w:rPr>
        <w:t>。</w:t>
      </w:r>
      <w:r>
        <w:rPr>
          <w:rFonts w:hint="eastAsia" w:ascii="仿宋_GB2312" w:hAnsi="仿宋_GB2312" w:eastAsia="仿宋_GB2312" w:cs="仿宋_GB2312"/>
          <w:sz w:val="32"/>
          <w:szCs w:val="32"/>
          <w:lang w:val="en-US" w:eastAsia="zh-CN"/>
        </w:rPr>
        <w:t>探索开展“无感监管”等智慧监管模式，提高对市场主体的监管质效，提升市场主体合规经营自觉性</w:t>
      </w:r>
      <w:r>
        <w:rPr>
          <w:rFonts w:hint="eastAsia" w:ascii="仿宋_GB2312" w:hAnsi="仿宋_GB2312" w:eastAsia="仿宋_GB2312" w:cs="仿宋_GB2312"/>
          <w:sz w:val="32"/>
          <w:szCs w:val="32"/>
        </w:rPr>
        <w:t>。</w:t>
      </w:r>
      <w:r>
        <w:rPr>
          <w:rFonts w:hint="eastAsia" w:ascii="仿宋_GB2312" w:hAnsi="仿宋_GB2312" w:eastAsia="仿宋_GB2312" w:cs="仿宋_GB2312"/>
          <w:b w:val="0"/>
          <w:bCs/>
          <w:color w:val="auto"/>
          <w:sz w:val="32"/>
          <w:lang w:eastAsia="zh-CN"/>
        </w:rPr>
        <w:t>《健全落实制度举措</w:t>
      </w:r>
      <w:r>
        <w:rPr>
          <w:rFonts w:hint="eastAsia" w:ascii="仿宋_GB2312" w:hAnsi="仿宋_GB2312" w:eastAsia="仿宋_GB2312" w:cs="仿宋_GB2312"/>
          <w:b w:val="0"/>
          <w:bCs/>
          <w:color w:val="auto"/>
          <w:sz w:val="32"/>
          <w:lang w:val="en-US" w:eastAsia="zh-CN"/>
        </w:rPr>
        <w:t xml:space="preserve"> 全面服务外资企业改制</w:t>
      </w:r>
      <w:r>
        <w:rPr>
          <w:rFonts w:hint="eastAsia" w:ascii="仿宋_GB2312" w:hAnsi="仿宋_GB2312" w:eastAsia="仿宋_GB2312" w:cs="仿宋_GB2312"/>
          <w:b w:val="0"/>
          <w:bCs/>
          <w:color w:val="auto"/>
          <w:sz w:val="32"/>
          <w:lang w:eastAsia="zh-CN"/>
        </w:rPr>
        <w:t>》获评青岛市涉外法治建设优秀案例。</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（四）聚焦规范提升，严格涉企行政执法</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3"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sz w:val="32"/>
          <w:szCs w:val="32"/>
          <w:lang w:val="en-US" w:eastAsia="zh-CN"/>
        </w:rPr>
        <w:t>一是全面开展涉企行政执法专项行动。</w:t>
      </w:r>
      <w:r>
        <w:rPr>
          <w:rFonts w:hint="eastAsia" w:ascii="仿宋_GB2312" w:hAnsi="仿宋_GB2312" w:eastAsia="仿宋_GB2312" w:cs="仿宋_GB2312"/>
          <w:b w:val="0"/>
          <w:bCs w:val="0"/>
          <w:snapToGrid w:val="0"/>
          <w:color w:val="auto"/>
          <w:sz w:val="32"/>
          <w:szCs w:val="32"/>
        </w:rPr>
        <w:t>出台</w:t>
      </w:r>
      <w:r>
        <w:rPr>
          <w:rFonts w:hint="eastAsia" w:ascii="仿宋_GB2312" w:hAnsi="仿宋_GB2312" w:eastAsia="仿宋_GB2312" w:cs="仿宋_GB2312"/>
          <w:b w:val="0"/>
          <w:bCs w:val="0"/>
          <w:color w:val="auto"/>
          <w:sz w:val="32"/>
          <w:szCs w:val="32"/>
        </w:rPr>
        <w:t>规范涉企行政检查若干措施、规范涉企行政执法专项行动方案、整治重点领域涉企收费专项行动等文件，</w:t>
      </w:r>
      <w:r>
        <w:rPr>
          <w:rFonts w:hint="eastAsia" w:ascii="仿宋_GB2312" w:hAnsi="仿宋_GB2312" w:eastAsia="仿宋_GB2312" w:cs="仿宋_GB2312"/>
          <w:b w:val="0"/>
          <w:bCs w:val="0"/>
          <w:color w:val="auto"/>
          <w:sz w:val="32"/>
          <w:szCs w:val="32"/>
          <w:lang w:val="en-US" w:eastAsia="zh-CN"/>
        </w:rPr>
        <w:t>对</w:t>
      </w:r>
      <w:r>
        <w:rPr>
          <w:rFonts w:hint="eastAsia" w:ascii="仿宋_GB2312" w:hAnsi="仿宋_GB2312" w:eastAsia="仿宋_GB2312" w:cs="仿宋_GB2312"/>
          <w:b w:val="0"/>
          <w:bCs w:val="0"/>
          <w:color w:val="auto"/>
          <w:sz w:val="32"/>
          <w:szCs w:val="32"/>
        </w:rPr>
        <w:t>涉企行政检查的适用范围、实施主体、</w:t>
      </w:r>
      <w:r>
        <w:rPr>
          <w:rFonts w:hint="eastAsia" w:ascii="仿宋_GB2312" w:hAnsi="仿宋_GB2312" w:eastAsia="仿宋_GB2312" w:cs="仿宋_GB2312"/>
          <w:b w:val="0"/>
          <w:bCs w:val="0"/>
          <w:color w:val="auto"/>
          <w:kern w:val="0"/>
          <w:sz w:val="32"/>
          <w:szCs w:val="32"/>
        </w:rPr>
        <w:t>入企频次、</w:t>
      </w:r>
      <w:r>
        <w:rPr>
          <w:rFonts w:hint="eastAsia" w:ascii="仿宋_GB2312" w:hAnsi="仿宋_GB2312" w:eastAsia="仿宋_GB2312" w:cs="仿宋_GB2312"/>
          <w:b w:val="0"/>
          <w:bCs w:val="0"/>
          <w:color w:val="auto"/>
          <w:sz w:val="32"/>
          <w:szCs w:val="32"/>
        </w:rPr>
        <w:t>严格程序等方面进行规定。</w:t>
      </w:r>
      <w:r>
        <w:rPr>
          <w:rFonts w:hint="eastAsia" w:ascii="仿宋_GB2312" w:hAnsi="仿宋_GB2312" w:eastAsia="仿宋_GB2312" w:cs="仿宋_GB2312"/>
          <w:b w:val="0"/>
          <w:bCs w:val="0"/>
          <w:color w:val="auto"/>
          <w:sz w:val="32"/>
          <w:szCs w:val="32"/>
          <w:lang w:val="en-US" w:eastAsia="zh-CN"/>
        </w:rPr>
        <w:t>编印《</w:t>
      </w:r>
      <w:r>
        <w:rPr>
          <w:rFonts w:ascii="Times New Roman" w:hAnsi="仿宋_GB2312" w:eastAsia="仿宋_GB2312"/>
          <w:sz w:val="32"/>
          <w:szCs w:val="32"/>
        </w:rPr>
        <w:t>青岛市市场监管</w:t>
      </w:r>
      <w:r>
        <w:rPr>
          <w:rFonts w:hint="eastAsia" w:ascii="Times New Roman" w:hAnsi="仿宋_GB2312" w:eastAsia="仿宋_GB2312"/>
          <w:sz w:val="32"/>
          <w:szCs w:val="32"/>
          <w:lang w:val="en-US" w:eastAsia="zh-CN"/>
        </w:rPr>
        <w:t>规范涉企行政执法</w:t>
      </w:r>
      <w:r>
        <w:rPr>
          <w:rFonts w:hint="eastAsia" w:ascii="仿宋_GB2312" w:hAnsi="仿宋_GB2312" w:eastAsia="仿宋_GB2312" w:cs="仿宋_GB2312"/>
          <w:sz w:val="32"/>
          <w:szCs w:val="32"/>
          <w:lang w:eastAsia="zh-CN"/>
        </w:rPr>
        <w:t>指导</w:t>
      </w:r>
      <w:r>
        <w:rPr>
          <w:rFonts w:hint="eastAsia" w:ascii="仿宋_GB2312" w:hAnsi="仿宋_GB2312" w:eastAsia="仿宋_GB2312" w:cs="仿宋_GB2312"/>
          <w:sz w:val="32"/>
          <w:szCs w:val="32"/>
        </w:rPr>
        <w:t>案例</w:t>
      </w:r>
      <w:r>
        <w:rPr>
          <w:rFonts w:hint="eastAsia" w:ascii="仿宋_GB2312" w:hAnsi="仿宋_GB2312" w:eastAsia="仿宋_GB2312" w:cs="仿宋_GB2312"/>
          <w:b w:val="0"/>
          <w:bCs w:val="0"/>
          <w:color w:val="auto"/>
          <w:sz w:val="32"/>
          <w:szCs w:val="32"/>
          <w:lang w:val="en-US" w:eastAsia="zh-CN"/>
        </w:rPr>
        <w:t>》，</w:t>
      </w:r>
      <w:r>
        <w:rPr>
          <w:rFonts w:hint="eastAsia" w:eastAsia="仿宋_GB2312"/>
          <w:sz w:val="32"/>
          <w:szCs w:val="32"/>
          <w:lang w:val="en-US" w:eastAsia="zh-CN"/>
        </w:rPr>
        <w:t>推广交流全市系统典型做法和特色亮点。</w:t>
      </w:r>
      <w:r>
        <w:rPr>
          <w:rFonts w:hint="eastAsia" w:ascii="仿宋_GB2312" w:hAnsi="仿宋_GB2312" w:eastAsia="仿宋_GB2312" w:cs="仿宋_GB2312"/>
          <w:b w:val="0"/>
          <w:bCs w:val="0"/>
          <w:color w:val="auto"/>
          <w:sz w:val="32"/>
          <w:szCs w:val="32"/>
        </w:rPr>
        <w:t>《青岛市规范涉企行政执法专项行动工作动态》</w:t>
      </w:r>
      <w:r>
        <w:rPr>
          <w:rFonts w:hint="default" w:ascii="Times New Roman" w:hAnsi="Times New Roman" w:eastAsia="仿宋_GB2312" w:cs="Times New Roman"/>
          <w:b w:val="0"/>
          <w:bCs w:val="0"/>
          <w:color w:val="auto"/>
          <w:sz w:val="32"/>
          <w:szCs w:val="32"/>
        </w:rPr>
        <w:t>6</w:t>
      </w:r>
      <w:r>
        <w:rPr>
          <w:rFonts w:hint="eastAsia" w:ascii="仿宋_GB2312" w:hAnsi="仿宋_GB2312" w:eastAsia="仿宋_GB2312" w:cs="仿宋_GB2312"/>
          <w:b w:val="0"/>
          <w:bCs w:val="0"/>
          <w:color w:val="auto"/>
          <w:sz w:val="32"/>
          <w:szCs w:val="32"/>
        </w:rPr>
        <w:t>次报道我局规范涉企</w:t>
      </w:r>
      <w:r>
        <w:rPr>
          <w:rFonts w:hint="eastAsia" w:ascii="仿宋_GB2312" w:hAnsi="仿宋_GB2312" w:eastAsia="仿宋_GB2312" w:cs="仿宋_GB2312"/>
          <w:b w:val="0"/>
          <w:bCs w:val="0"/>
          <w:color w:val="auto"/>
          <w:sz w:val="32"/>
          <w:szCs w:val="32"/>
          <w:lang w:val="en-US" w:eastAsia="zh-CN"/>
        </w:rPr>
        <w:t>执法</w:t>
      </w:r>
      <w:r>
        <w:rPr>
          <w:rFonts w:hint="eastAsia" w:ascii="仿宋_GB2312" w:hAnsi="仿宋_GB2312" w:eastAsia="仿宋_GB2312" w:cs="仿宋_GB2312"/>
          <w:b w:val="0"/>
          <w:bCs w:val="0"/>
          <w:color w:val="auto"/>
          <w:sz w:val="32"/>
          <w:szCs w:val="32"/>
        </w:rPr>
        <w:t>工作做法。</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二是拓宽渠道强化执法监督。</w:t>
      </w:r>
      <w:r>
        <w:rPr>
          <w:rFonts w:hint="eastAsia" w:ascii="仿宋_GB2312" w:hAnsi="仿宋_GB2312" w:eastAsia="仿宋_GB2312" w:cs="仿宋_GB2312"/>
          <w:b w:val="0"/>
          <w:bCs w:val="0"/>
          <w:color w:val="000000"/>
          <w:sz w:val="32"/>
          <w:szCs w:val="32"/>
          <w:lang w:eastAsia="zh-CN"/>
        </w:rPr>
        <w:t>制定涉企行政检查“负面清单”，为行政权力运行立规矩、划边界。</w:t>
      </w:r>
      <w:r>
        <w:rPr>
          <w:rFonts w:hint="eastAsia" w:ascii="仿宋_GB2312" w:hAnsi="仿宋_GB2312" w:eastAsia="仿宋_GB2312" w:cs="仿宋_GB2312"/>
          <w:b w:val="0"/>
          <w:bCs w:val="0"/>
          <w:color w:val="auto"/>
          <w:kern w:val="0"/>
          <w:sz w:val="32"/>
          <w:szCs w:val="32"/>
          <w:highlight w:val="none"/>
          <w:lang w:val="en-US" w:eastAsia="zh-CN"/>
        </w:rPr>
        <w:t>组织开展全系统行政执法案卷评查和执法监督检查，抽查案卷</w:t>
      </w:r>
      <w:r>
        <w:rPr>
          <w:rFonts w:hint="eastAsia" w:ascii="Times New Roman" w:hAnsi="Times New Roman" w:eastAsia="仿宋_GB2312" w:cs="Times New Roman"/>
          <w:b w:val="0"/>
          <w:color w:val="000000"/>
          <w:kern w:val="2"/>
          <w:sz w:val="32"/>
          <w:szCs w:val="32"/>
          <w:lang w:val="en-US" w:eastAsia="zh-CN" w:bidi="ar-SA"/>
        </w:rPr>
        <w:t>200余份，进一步提高行政执法办案质量和案卷制作水平。</w:t>
      </w:r>
      <w:r>
        <w:rPr>
          <w:rFonts w:hint="eastAsia" w:ascii="仿宋_GB2312" w:hAnsi="仿宋_GB2312" w:eastAsia="仿宋_GB2312" w:cs="仿宋_GB2312"/>
          <w:b w:val="0"/>
          <w:bCs w:val="0"/>
          <w:sz w:val="32"/>
          <w:szCs w:val="32"/>
          <w:lang w:val="en-US" w:eastAsia="zh-CN"/>
        </w:rPr>
        <w:t>制定《青岛市市场监督管理局规范涉企执法监测点和监督员管理暂行办法》，</w:t>
      </w:r>
      <w:r>
        <w:rPr>
          <w:rFonts w:hint="eastAsia" w:ascii="仿宋_GB2312" w:hAnsi="仿宋_GB2312" w:eastAsia="仿宋_GB2312" w:cs="仿宋_GB2312"/>
          <w:b w:val="0"/>
          <w:bCs w:val="0"/>
          <w:i w:val="0"/>
          <w:caps w:val="0"/>
          <w:snapToGrid w:val="0"/>
          <w:color w:val="auto"/>
          <w:spacing w:val="0"/>
          <w:sz w:val="32"/>
          <w:szCs w:val="32"/>
          <w:u w:val="none"/>
          <w:lang w:val="en-US" w:eastAsia="zh-CN"/>
        </w:rPr>
        <w:t>在全市范围内组建</w:t>
      </w:r>
      <w:r>
        <w:rPr>
          <w:rFonts w:hint="eastAsia" w:ascii="仿宋_GB2312" w:hAnsi="仿宋_GB2312" w:eastAsia="仿宋_GB2312" w:cs="仿宋_GB2312"/>
          <w:sz w:val="32"/>
          <w:szCs w:val="32"/>
          <w:lang w:val="en-US" w:eastAsia="zh-CN"/>
        </w:rPr>
        <w:t>规范涉企执法监测点、监督员队伍，多渠道收集意见建议，进一步提高市场监管涉企行政执法监督效能</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3"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sz w:val="32"/>
          <w:szCs w:val="32"/>
          <w:lang w:val="en-US" w:eastAsia="zh-CN"/>
        </w:rPr>
        <w:t>三是深化包容审慎监管。</w:t>
      </w:r>
      <w:r>
        <w:rPr>
          <w:rFonts w:hint="eastAsia" w:ascii="仿宋_GB2312" w:hAnsi="仿宋_GB2312" w:eastAsia="仿宋_GB2312" w:cs="仿宋_GB2312"/>
          <w:b w:val="0"/>
          <w:bCs/>
          <w:color w:val="auto"/>
          <w:kern w:val="2"/>
          <w:sz w:val="32"/>
          <w:szCs w:val="32"/>
          <w:lang w:val="en-US" w:eastAsia="zh-CN" w:bidi="ar-SA"/>
        </w:rPr>
        <w:t>严格落实轻微免罚、审慎强制制度，</w:t>
      </w:r>
      <w:r>
        <w:rPr>
          <w:rFonts w:hint="eastAsia" w:ascii="仿宋_GB2312" w:hAnsi="仿宋_GB2312" w:eastAsia="仿宋_GB2312" w:cs="仿宋_GB2312"/>
          <w:b w:val="0"/>
          <w:bCs/>
          <w:color w:val="auto"/>
          <w:sz w:val="32"/>
          <w:szCs w:val="32"/>
          <w:lang w:val="en-US" w:eastAsia="zh-CN"/>
        </w:rPr>
        <w:t>进一步优化法治化营商环境，</w:t>
      </w:r>
      <w:r>
        <w:rPr>
          <w:rFonts w:hint="default" w:ascii="Times New Roman" w:hAnsi="Times New Roman" w:eastAsia="仿宋_GB2312" w:cs="Times New Roman"/>
          <w:b w:val="0"/>
          <w:bCs/>
          <w:sz w:val="32"/>
          <w:szCs w:val="32"/>
          <w:lang w:val="en-US" w:eastAsia="zh-CN"/>
        </w:rPr>
        <w:t>2025</w:t>
      </w:r>
      <w:r>
        <w:rPr>
          <w:rFonts w:hint="default" w:ascii="Times New Roman" w:hAnsi="Times New Roman" w:eastAsia="仿宋_GB2312" w:cs="Times New Roman"/>
          <w:b w:val="0"/>
          <w:bCs/>
          <w:sz w:val="32"/>
          <w:szCs w:val="32"/>
        </w:rPr>
        <w:t>年办理轻微违法免罚案件</w:t>
      </w:r>
      <w:r>
        <w:rPr>
          <w:rFonts w:hint="default" w:ascii="Times New Roman" w:hAnsi="Times New Roman" w:eastAsia="仿宋_GB2312" w:cs="Times New Roman"/>
          <w:b w:val="0"/>
          <w:bCs/>
          <w:sz w:val="32"/>
          <w:szCs w:val="32"/>
          <w:lang w:val="en-US" w:eastAsia="zh-CN"/>
        </w:rPr>
        <w:t>31</w:t>
      </w:r>
      <w:r>
        <w:rPr>
          <w:rFonts w:hint="default" w:ascii="Times New Roman" w:hAnsi="Times New Roman" w:eastAsia="仿宋_GB2312" w:cs="Times New Roman"/>
          <w:b w:val="0"/>
          <w:bCs/>
          <w:sz w:val="32"/>
          <w:szCs w:val="32"/>
        </w:rPr>
        <w:t>00余件</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为当事人免除罚款</w:t>
      </w:r>
      <w:r>
        <w:rPr>
          <w:rFonts w:hint="default" w:ascii="Times New Roman" w:hAnsi="Times New Roman" w:eastAsia="仿宋_GB2312" w:cs="Times New Roman"/>
          <w:b w:val="0"/>
          <w:bCs/>
          <w:sz w:val="32"/>
          <w:szCs w:val="32"/>
          <w:lang w:eastAsia="zh-CN"/>
        </w:rPr>
        <w:t>超</w:t>
      </w:r>
      <w:r>
        <w:rPr>
          <w:rFonts w:hint="default" w:ascii="Times New Roman" w:hAnsi="Times New Roman" w:eastAsia="仿宋_GB2312" w:cs="Times New Roman"/>
          <w:b w:val="0"/>
          <w:bCs/>
          <w:sz w:val="32"/>
          <w:szCs w:val="32"/>
          <w:lang w:val="en-US" w:eastAsia="zh-CN"/>
        </w:rPr>
        <w:t>93</w:t>
      </w:r>
      <w:r>
        <w:rPr>
          <w:rFonts w:hint="default" w:ascii="Times New Roman" w:hAnsi="Times New Roman" w:eastAsia="仿宋_GB2312" w:cs="Times New Roman"/>
          <w:b w:val="0"/>
          <w:bCs/>
          <w:sz w:val="32"/>
          <w:szCs w:val="32"/>
        </w:rPr>
        <w:t>00</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color w:val="auto"/>
          <w:sz w:val="32"/>
          <w:lang w:val="en-US" w:eastAsia="zh-CN"/>
        </w:rPr>
        <w:t>以柔性方式实现监管目的。轻微免罚工作做法被市委改革办作为地方改革案例相关内容上报省委改革办。</w:t>
      </w:r>
      <w:r>
        <w:rPr>
          <w:rFonts w:hint="eastAsia" w:ascii="仿宋_GB2312" w:hAnsi="仿宋_GB2312" w:eastAsia="仿宋_GB2312" w:cs="仿宋_GB2312"/>
          <w:b w:val="0"/>
          <w:bCs w:val="0"/>
          <w:color w:val="auto"/>
          <w:kern w:val="2"/>
          <w:sz w:val="32"/>
          <w:szCs w:val="32"/>
          <w:lang w:val="en-US" w:eastAsia="zh-CN" w:bidi="ar-SA"/>
        </w:rPr>
        <w:t>联合市科技局探索开展“沙盒监管”，</w:t>
      </w: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eastAsia="zh-CN"/>
        </w:rPr>
        <w:t>科技型企业</w:t>
      </w:r>
      <w:r>
        <w:rPr>
          <w:rFonts w:hint="eastAsia" w:ascii="仿宋_GB2312" w:hAnsi="仿宋_GB2312" w:eastAsia="仿宋_GB2312" w:cs="仿宋_GB2312"/>
          <w:color w:val="auto"/>
          <w:sz w:val="32"/>
          <w:szCs w:val="32"/>
        </w:rPr>
        <w:t>新技术、新产业、新业态、新模式实行弹性监管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在坚守安全底线前提下</w:t>
      </w:r>
      <w:r>
        <w:rPr>
          <w:rFonts w:hint="eastAsia" w:ascii="仿宋_GB2312" w:hAnsi="仿宋_GB2312" w:eastAsia="仿宋_GB2312" w:cs="仿宋_GB2312"/>
          <w:b w:val="0"/>
          <w:bCs w:val="0"/>
          <w:color w:val="auto"/>
          <w:kern w:val="2"/>
          <w:sz w:val="32"/>
          <w:szCs w:val="32"/>
          <w:lang w:val="en-US" w:eastAsia="zh-CN" w:bidi="ar-SA"/>
        </w:rPr>
        <w:t>，激发企业创新活力。</w:t>
      </w:r>
    </w:p>
    <w:p>
      <w:pPr>
        <w:keepNext w:val="0"/>
        <w:keepLines w:val="0"/>
        <w:pageBreakBefore w:val="0"/>
        <w:widowControl w:val="0"/>
        <w:numPr>
          <w:ilvl w:val="0"/>
          <w:numId w:val="2"/>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存在的问题</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0" w:firstLineChars="200"/>
        <w:textAlignment w:val="auto"/>
        <w:rPr>
          <w:rFonts w:hint="eastAsia" w:ascii="仿宋_GB2312" w:hAnsi="仿宋_GB2312" w:eastAsia="仿宋_GB2312" w:cs="仿宋_GB2312"/>
          <w:sz w:val="32"/>
          <w:szCs w:val="32"/>
          <w:lang w:eastAsia="zh-CN"/>
        </w:rPr>
      </w:pPr>
      <w:r>
        <w:rPr>
          <w:rFonts w:hint="default" w:ascii="Times New Roman" w:hAnsi="Times New Roman" w:eastAsia="仿宋_GB2312" w:cs="Times New Roman"/>
          <w:color w:val="000000"/>
          <w:sz w:val="32"/>
          <w:szCs w:val="32"/>
          <w:lang w:val="en-US" w:eastAsia="zh-CN"/>
        </w:rPr>
        <w:t>2025</w:t>
      </w:r>
      <w:r>
        <w:rPr>
          <w:rFonts w:hint="eastAsia" w:ascii="仿宋_GB2312" w:hAnsi="仿宋_GB2312" w:eastAsia="仿宋_GB2312" w:cs="仿宋_GB2312"/>
          <w:color w:val="000000"/>
          <w:sz w:val="32"/>
          <w:szCs w:val="32"/>
          <w:lang w:val="en-US" w:eastAsia="zh-CN"/>
        </w:rPr>
        <w:t>年，我局法治政府建设工作虽然取得了显著成效，但仍存在一定的不足。</w:t>
      </w:r>
      <w:r>
        <w:rPr>
          <w:rFonts w:hint="eastAsia" w:ascii="楷体_GB2312" w:hAnsi="楷体_GB2312" w:eastAsia="楷体_GB2312" w:cs="楷体_GB2312"/>
          <w:color w:val="000000"/>
          <w:sz w:val="32"/>
          <w:szCs w:val="32"/>
        </w:rPr>
        <w:t>一是</w:t>
      </w:r>
      <w:r>
        <w:rPr>
          <w:rFonts w:hint="eastAsia" w:ascii="楷体_GB2312" w:hAnsi="楷体_GB2312" w:eastAsia="楷体_GB2312" w:cs="楷体_GB2312"/>
          <w:sz w:val="32"/>
          <w:szCs w:val="32"/>
        </w:rPr>
        <w:t>行政执法专业能力建设</w:t>
      </w:r>
      <w:r>
        <w:rPr>
          <w:rFonts w:hint="eastAsia" w:ascii="楷体_GB2312" w:hAnsi="楷体_GB2312" w:eastAsia="楷体_GB2312" w:cs="楷体_GB2312"/>
          <w:sz w:val="32"/>
          <w:szCs w:val="32"/>
          <w:lang w:val="en-US" w:eastAsia="zh-CN"/>
        </w:rPr>
        <w:t>需进一步强化</w:t>
      </w:r>
      <w:r>
        <w:rPr>
          <w:rFonts w:hint="eastAsia" w:ascii="楷体_GB2312" w:hAnsi="楷体_GB2312" w:eastAsia="楷体_GB2312" w:cs="楷体_GB2312"/>
          <w:sz w:val="32"/>
          <w:szCs w:val="32"/>
        </w:rPr>
        <w:t>。</w:t>
      </w:r>
      <w:r>
        <w:rPr>
          <w:rFonts w:hint="eastAsia" w:ascii="仿宋_GB2312" w:hAnsi="仿宋_GB2312" w:eastAsia="仿宋_GB2312" w:cs="仿宋_GB2312"/>
          <w:color w:val="000000"/>
          <w:sz w:val="32"/>
          <w:szCs w:val="32"/>
        </w:rPr>
        <w:t>主要原因是</w:t>
      </w:r>
      <w:r>
        <w:rPr>
          <w:rFonts w:hint="eastAsia" w:ascii="仿宋_GB2312" w:hAnsi="仿宋_GB2312" w:eastAsia="仿宋_GB2312" w:cs="仿宋_GB2312"/>
          <w:sz w:val="32"/>
          <w:szCs w:val="32"/>
        </w:rPr>
        <w:t>违法行为跨行业、跨区域趋势日益明显</w:t>
      </w:r>
      <w:r>
        <w:rPr>
          <w:rFonts w:hint="eastAsia" w:ascii="仿宋_GB2312" w:hAnsi="仿宋_GB2312" w:eastAsia="仿宋_GB2312" w:cs="仿宋_GB2312"/>
          <w:sz w:val="32"/>
          <w:szCs w:val="32"/>
          <w:lang w:eastAsia="zh-CN"/>
        </w:rPr>
        <w:t>，经常存在同一个当事人同时有多种违法行为或者</w:t>
      </w:r>
      <w:r>
        <w:rPr>
          <w:rFonts w:hint="eastAsia" w:ascii="仿宋_GB2312" w:hAnsi="仿宋_GB2312" w:eastAsia="仿宋_GB2312" w:cs="仿宋_GB2312"/>
          <w:sz w:val="32"/>
          <w:szCs w:val="32"/>
          <w:lang w:val="en-US" w:eastAsia="zh-CN"/>
        </w:rPr>
        <w:t>当事人的同一个违法行为违反多个法律规范的情况，</w:t>
      </w:r>
      <w:r>
        <w:rPr>
          <w:rFonts w:hint="eastAsia" w:ascii="仿宋_GB2312" w:hAnsi="仿宋_GB2312" w:eastAsia="仿宋_GB2312" w:cs="仿宋_GB2312"/>
          <w:sz w:val="32"/>
          <w:szCs w:val="32"/>
        </w:rPr>
        <w:t>导致“案难办、案难查”。</w:t>
      </w:r>
      <w:r>
        <w:rPr>
          <w:rFonts w:hint="eastAsia" w:ascii="楷体_GB2312" w:hAnsi="楷体_GB2312" w:eastAsia="楷体_GB2312" w:cs="楷体_GB2312"/>
          <w:color w:val="000000"/>
          <w:sz w:val="32"/>
          <w:szCs w:val="32"/>
        </w:rPr>
        <w:t>二是</w:t>
      </w:r>
      <w:r>
        <w:rPr>
          <w:rFonts w:hint="eastAsia" w:ascii="楷体_GB2312" w:hAnsi="楷体_GB2312" w:eastAsia="楷体_GB2312" w:cs="楷体_GB2312"/>
          <w:sz w:val="32"/>
          <w:szCs w:val="32"/>
        </w:rPr>
        <w:t>“无感监管”方式探索还不够多。</w:t>
      </w:r>
      <w:r>
        <w:rPr>
          <w:rFonts w:hint="eastAsia" w:ascii="仿宋_GB2312" w:hAnsi="仿宋_GB2312" w:eastAsia="仿宋_GB2312" w:cs="仿宋_GB2312"/>
          <w:sz w:val="32"/>
          <w:szCs w:val="32"/>
        </w:rPr>
        <w:t>主要原因在市场监管领域行政检查工作中，使用数据共享、智能分析等手段对市场主体开展行政检查的手段还不够多</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、202</w:t>
      </w:r>
      <w:r>
        <w:rPr>
          <w:rFonts w:hint="eastAsia" w:ascii="黑体" w:hAnsi="黑体" w:eastAsia="黑体" w:cs="黑体"/>
          <w:sz w:val="32"/>
          <w:szCs w:val="32"/>
          <w:lang w:val="en-US" w:eastAsia="zh-CN"/>
        </w:rPr>
        <w:t>6</w:t>
      </w:r>
      <w:r>
        <w:rPr>
          <w:rFonts w:hint="eastAsia" w:ascii="黑体" w:hAnsi="黑体" w:eastAsia="黑体" w:cs="黑体"/>
          <w:sz w:val="32"/>
          <w:szCs w:val="32"/>
        </w:rPr>
        <w:t>年推进法治政府建设的主要安排</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0" w:firstLineChars="200"/>
        <w:textAlignment w:val="auto"/>
        <w:rPr>
          <w:rFonts w:hint="eastAsia" w:ascii="仿宋_GB2312" w:hAnsi="楷体_GB2312" w:eastAsia="仿宋_GB2312" w:cs="楷体_GB2312"/>
          <w:kern w:val="0"/>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加强</w:t>
      </w:r>
      <w:r>
        <w:rPr>
          <w:rFonts w:hint="eastAsia" w:ascii="楷体_GB2312" w:hAnsi="楷体_GB2312" w:eastAsia="楷体_GB2312" w:cs="楷体_GB2312"/>
          <w:sz w:val="32"/>
          <w:szCs w:val="32"/>
        </w:rPr>
        <w:t>重点监管，</w:t>
      </w:r>
      <w:r>
        <w:rPr>
          <w:rFonts w:hint="eastAsia" w:ascii="楷体_GB2312" w:hAnsi="楷体_GB2312" w:eastAsia="楷体_GB2312" w:cs="楷体_GB2312"/>
          <w:sz w:val="32"/>
          <w:szCs w:val="32"/>
          <w:lang w:val="en-US" w:eastAsia="zh-CN"/>
        </w:rPr>
        <w:t>筑牢安全监管底线。</w:t>
      </w:r>
      <w:r>
        <w:rPr>
          <w:rFonts w:hint="eastAsia" w:ascii="仿宋_GB2312" w:hAnsi="仿宋_GB2312" w:eastAsia="仿宋_GB2312" w:cs="仿宋_GB2312"/>
          <w:sz w:val="32"/>
          <w:szCs w:val="32"/>
        </w:rPr>
        <w:t>强化食品、药品、工业产品质量、特种设备的安全监管执法，做到源头严防、过程严管、风险严控、违法严惩</w:t>
      </w:r>
      <w:r>
        <w:rPr>
          <w:rFonts w:hint="eastAsia" w:ascii="仿宋_GB2312" w:hAnsi="仿宋_GB2312" w:eastAsia="仿宋_GB2312" w:cs="仿宋_GB2312"/>
          <w:sz w:val="32"/>
          <w:szCs w:val="32"/>
          <w:lang w:eastAsia="zh-CN"/>
        </w:rPr>
        <w:t>，切实保障</w:t>
      </w:r>
      <w:r>
        <w:rPr>
          <w:rFonts w:hint="eastAsia" w:ascii="仿宋_GB2312" w:hAnsi="仿宋_GB2312" w:eastAsia="仿宋_GB2312" w:cs="仿宋_GB2312"/>
          <w:sz w:val="32"/>
          <w:szCs w:val="32"/>
        </w:rPr>
        <w:t>人民群众身体健康和生命财产安全</w:t>
      </w:r>
      <w:r>
        <w:rPr>
          <w:rFonts w:hint="eastAsia" w:ascii="仿宋_GB2312" w:hAnsi="仿宋_GB2312" w:eastAsia="仿宋_GB2312" w:cs="仿宋_GB2312"/>
          <w:sz w:val="32"/>
          <w:szCs w:val="32"/>
          <w:lang w:eastAsia="zh-CN"/>
        </w:rPr>
        <w:t>，维护公平的市场竞争秩序。</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kern w:val="0"/>
          <w:sz w:val="32"/>
          <w:szCs w:val="32"/>
          <w:lang w:eastAsia="zh-CN"/>
        </w:rPr>
        <w:t>（</w:t>
      </w:r>
      <w:r>
        <w:rPr>
          <w:rFonts w:hint="eastAsia" w:ascii="楷体_GB2312" w:hAnsi="楷体_GB2312" w:eastAsia="楷体_GB2312" w:cs="楷体_GB2312"/>
          <w:kern w:val="0"/>
          <w:sz w:val="32"/>
          <w:szCs w:val="32"/>
          <w:lang w:val="en-US" w:eastAsia="zh-CN"/>
        </w:rPr>
        <w:t>二</w:t>
      </w:r>
      <w:r>
        <w:rPr>
          <w:rFonts w:hint="eastAsia" w:ascii="楷体_GB2312" w:hAnsi="楷体_GB2312" w:eastAsia="楷体_GB2312" w:cs="楷体_GB2312"/>
          <w:kern w:val="0"/>
          <w:sz w:val="32"/>
          <w:szCs w:val="32"/>
          <w:lang w:eastAsia="zh-CN"/>
        </w:rPr>
        <w:t>）</w:t>
      </w:r>
      <w:r>
        <w:rPr>
          <w:rFonts w:hint="eastAsia" w:ascii="楷体_GB2312" w:hAnsi="楷体_GB2312" w:eastAsia="楷体_GB2312" w:cs="楷体_GB2312"/>
          <w:kern w:val="0"/>
          <w:sz w:val="32"/>
          <w:szCs w:val="32"/>
          <w:lang w:val="en-US" w:eastAsia="zh-CN"/>
        </w:rPr>
        <w:t>创新监管方式，</w:t>
      </w:r>
      <w:r>
        <w:rPr>
          <w:rFonts w:hint="eastAsia" w:ascii="楷体_GB2312" w:hAnsi="楷体_GB2312" w:eastAsia="楷体_GB2312" w:cs="楷体_GB2312"/>
          <w:sz w:val="32"/>
          <w:szCs w:val="32"/>
        </w:rPr>
        <w:t>全面提升监管效能</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通过创新性举措，推动监管方式从被动响应向主动发现、精准干预转变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升级</w:t>
      </w:r>
      <w:r>
        <w:rPr>
          <w:rFonts w:hint="eastAsia" w:ascii="仿宋_GB2312" w:hAnsi="仿宋_GB2312" w:eastAsia="仿宋_GB2312" w:cs="仿宋_GB2312"/>
          <w:sz w:val="32"/>
          <w:szCs w:val="32"/>
        </w:rPr>
        <w:t>“无扰检查”事项清单，结合信用风险分级分类管理，依托大数据、人工智能等技术手段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探索更多非现场检查适用场景，最大限度减轻企业负担</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pBdr>
          <w:top w:val="none" w:color="000000" w:sz="0" w:space="0"/>
          <w:left w:val="none" w:color="000000" w:sz="0" w:space="0"/>
          <w:bottom w:val="none" w:color="000000" w:sz="0" w:space="20"/>
          <w:right w:val="none" w:color="000000" w:sz="0" w:space="2"/>
        </w:pBdr>
        <w:kinsoku/>
        <w:wordWrap/>
        <w:overflowPunct/>
        <w:topLinePunct w:val="0"/>
        <w:autoSpaceDE/>
        <w:autoSpaceDN w:val="0"/>
        <w:bidi w:val="0"/>
        <w:adjustRightInd/>
        <w:snapToGrid w:val="0"/>
        <w:spacing w:beforeAutospacing="0" w:afterAutospacing="0" w:line="560" w:lineRule="exact"/>
        <w:ind w:left="0" w:leftChars="0" w:right="0"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kern w:val="0"/>
          <w:sz w:val="32"/>
          <w:szCs w:val="32"/>
          <w:lang w:eastAsia="zh-CN"/>
        </w:rPr>
        <w:t>（</w:t>
      </w:r>
      <w:r>
        <w:rPr>
          <w:rFonts w:hint="eastAsia" w:ascii="楷体_GB2312" w:hAnsi="楷体_GB2312" w:eastAsia="楷体_GB2312" w:cs="楷体_GB2312"/>
          <w:kern w:val="0"/>
          <w:sz w:val="32"/>
          <w:szCs w:val="32"/>
          <w:lang w:val="en-US" w:eastAsia="zh-CN"/>
        </w:rPr>
        <w:t>三</w:t>
      </w:r>
      <w:r>
        <w:rPr>
          <w:rFonts w:hint="eastAsia" w:ascii="楷体_GB2312" w:hAnsi="楷体_GB2312" w:eastAsia="楷体_GB2312" w:cs="楷体_GB2312"/>
          <w:kern w:val="0"/>
          <w:sz w:val="32"/>
          <w:szCs w:val="32"/>
          <w:lang w:eastAsia="zh-CN"/>
        </w:rPr>
        <w:t>）</w:t>
      </w:r>
      <w:r>
        <w:rPr>
          <w:rFonts w:hint="eastAsia" w:ascii="楷体_GB2312" w:hAnsi="楷体_GB2312" w:eastAsia="楷体_GB2312" w:cs="楷体_GB2312"/>
          <w:kern w:val="0"/>
          <w:sz w:val="32"/>
          <w:szCs w:val="32"/>
        </w:rPr>
        <w:t>强化</w:t>
      </w:r>
      <w:r>
        <w:rPr>
          <w:rFonts w:hint="eastAsia" w:ascii="楷体_GB2312" w:hAnsi="楷体_GB2312" w:eastAsia="楷体_GB2312" w:cs="楷体_GB2312"/>
          <w:kern w:val="0"/>
          <w:sz w:val="32"/>
          <w:szCs w:val="32"/>
          <w:lang w:val="en-US" w:eastAsia="zh-CN"/>
        </w:rPr>
        <w:t>合规指导</w:t>
      </w:r>
      <w:r>
        <w:rPr>
          <w:rFonts w:hint="eastAsia" w:ascii="楷体_GB2312" w:hAnsi="楷体_GB2312" w:eastAsia="楷体_GB2312" w:cs="楷体_GB2312"/>
          <w:kern w:val="0"/>
          <w:sz w:val="32"/>
          <w:szCs w:val="32"/>
        </w:rPr>
        <w:t>，优化法治化营商环境。</w:t>
      </w:r>
      <w:r>
        <w:rPr>
          <w:rFonts w:hint="eastAsia" w:ascii="仿宋_GB2312" w:hAnsi="仿宋_GB2312" w:eastAsia="仿宋_GB2312" w:cs="仿宋_GB2312"/>
          <w:sz w:val="32"/>
          <w:szCs w:val="32"/>
          <w:lang w:val="en-US" w:eastAsia="zh-CN"/>
        </w:rPr>
        <w:t>选取重点监管领域，</w:t>
      </w:r>
      <w:r>
        <w:rPr>
          <w:rFonts w:hint="eastAsia" w:ascii="仿宋_GB2312" w:hAnsi="仿宋_GB2312" w:eastAsia="仿宋_GB2312" w:cs="仿宋_GB2312"/>
          <w:sz w:val="32"/>
          <w:szCs w:val="32"/>
        </w:rPr>
        <w:t>面向</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val="en-US" w:eastAsia="zh-CN"/>
        </w:rPr>
        <w:t>全过程合规指导，</w:t>
      </w:r>
      <w:r>
        <w:rPr>
          <w:rFonts w:hint="eastAsia" w:ascii="仿宋_GB2312" w:hAnsi="仿宋_GB2312" w:eastAsia="仿宋_GB2312" w:cs="仿宋_GB2312"/>
          <w:sz w:val="32"/>
          <w:szCs w:val="32"/>
        </w:rPr>
        <w:t>渐进式提升</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合规治理水平。</w:t>
      </w:r>
      <w:r>
        <w:rPr>
          <w:rFonts w:hint="eastAsia" w:ascii="仿宋_GB2312" w:hAnsi="仿宋_GB2312" w:eastAsia="仿宋_GB2312" w:cs="仿宋_GB2312"/>
          <w:sz w:val="32"/>
          <w:szCs w:val="32"/>
          <w:lang w:val="en-US" w:eastAsia="zh-CN"/>
        </w:rPr>
        <w:t>选取重点行业探索建立企业经营常见、高频合规风险清单，打造企业可对照执行的“风险防范说明书”，为企业自查自律、行业规范提升提供标准化指南。</w:t>
      </w:r>
    </w:p>
    <w:p>
      <w:pPr>
        <w:keepNext w:val="0"/>
        <w:keepLines w:val="0"/>
        <w:pageBreakBefore w:val="0"/>
        <w:widowControl w:val="0"/>
        <w:kinsoku/>
        <w:wordWrap/>
        <w:overflowPunct/>
        <w:topLinePunct w:val="0"/>
        <w:autoSpaceDE/>
        <w:bidi w:val="0"/>
        <w:adjustRightInd/>
        <w:spacing w:line="560" w:lineRule="exact"/>
        <w:textAlignment w:val="auto"/>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fldChar w:fldCharType="begin"/>
                          </w:r>
                          <w:r>
                            <w:rPr>
                              <w:rFonts w:hint="eastAsia" w:asciiTheme="minorEastAsia" w:hAnsiTheme="minorEastAsia" w:eastAsiaTheme="minorEastAsia" w:cstheme="minorEastAsia"/>
                              <w:sz w:val="22"/>
                              <w:szCs w:val="22"/>
                              <w:lang w:eastAsia="zh-CN"/>
                            </w:rPr>
                            <w:instrText xml:space="preserve"> PAGE  \* MERGEFORMAT </w:instrText>
                          </w:r>
                          <w:r>
                            <w:rPr>
                              <w:rFonts w:hint="eastAsia" w:asciiTheme="minorEastAsia" w:hAnsiTheme="minorEastAsia" w:eastAsiaTheme="minorEastAsia" w:cstheme="minorEastAsia"/>
                              <w:sz w:val="22"/>
                              <w:szCs w:val="22"/>
                              <w:lang w:eastAsia="zh-CN"/>
                            </w:rPr>
                            <w:fldChar w:fldCharType="separate"/>
                          </w:r>
                          <w:r>
                            <w:rPr>
                              <w:rFonts w:hint="eastAsia" w:asciiTheme="minorEastAsia" w:hAnsiTheme="minorEastAsia" w:eastAsiaTheme="minorEastAsia" w:cstheme="minorEastAsia"/>
                              <w:sz w:val="22"/>
                              <w:szCs w:val="22"/>
                              <w:lang w:eastAsia="zh-CN"/>
                            </w:rPr>
                            <w:t>1</w:t>
                          </w:r>
                          <w:r>
                            <w:rPr>
                              <w:rFonts w:hint="eastAsia" w:asciiTheme="minorEastAsia" w:hAnsiTheme="minorEastAsia" w:eastAsiaTheme="minorEastAsia" w:cstheme="minorEastAsia"/>
                              <w:sz w:val="22"/>
                              <w:szCs w:val="2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fldChar w:fldCharType="begin"/>
                    </w:r>
                    <w:r>
                      <w:rPr>
                        <w:rFonts w:hint="eastAsia" w:asciiTheme="minorEastAsia" w:hAnsiTheme="minorEastAsia" w:eastAsiaTheme="minorEastAsia" w:cstheme="minorEastAsia"/>
                        <w:sz w:val="22"/>
                        <w:szCs w:val="22"/>
                        <w:lang w:eastAsia="zh-CN"/>
                      </w:rPr>
                      <w:instrText xml:space="preserve"> PAGE  \* MERGEFORMAT </w:instrText>
                    </w:r>
                    <w:r>
                      <w:rPr>
                        <w:rFonts w:hint="eastAsia" w:asciiTheme="minorEastAsia" w:hAnsiTheme="minorEastAsia" w:eastAsiaTheme="minorEastAsia" w:cstheme="minorEastAsia"/>
                        <w:sz w:val="22"/>
                        <w:szCs w:val="22"/>
                        <w:lang w:eastAsia="zh-CN"/>
                      </w:rPr>
                      <w:fldChar w:fldCharType="separate"/>
                    </w:r>
                    <w:r>
                      <w:rPr>
                        <w:rFonts w:hint="eastAsia" w:asciiTheme="minorEastAsia" w:hAnsiTheme="minorEastAsia" w:eastAsiaTheme="minorEastAsia" w:cstheme="minorEastAsia"/>
                        <w:sz w:val="22"/>
                        <w:szCs w:val="22"/>
                        <w:lang w:eastAsia="zh-CN"/>
                      </w:rPr>
                      <w:t>1</w:t>
                    </w:r>
                    <w:r>
                      <w:rPr>
                        <w:rFonts w:hint="eastAsia" w:asciiTheme="minorEastAsia" w:hAnsiTheme="minorEastAsia" w:eastAsiaTheme="minorEastAsia" w:cstheme="minorEastAsia"/>
                        <w:sz w:val="22"/>
                        <w:szCs w:val="22"/>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0C28C4"/>
    <w:multiLevelType w:val="singleLevel"/>
    <w:tmpl w:val="C60C28C4"/>
    <w:lvl w:ilvl="0" w:tentative="0">
      <w:start w:val="2"/>
      <w:numFmt w:val="chineseCounting"/>
      <w:suff w:val="nothing"/>
      <w:lvlText w:val="（%1）"/>
      <w:lvlJc w:val="left"/>
      <w:rPr>
        <w:rFonts w:hint="eastAsia"/>
      </w:rPr>
    </w:lvl>
  </w:abstractNum>
  <w:abstractNum w:abstractNumId="1">
    <w:nsid w:val="3E9060F2"/>
    <w:multiLevelType w:val="singleLevel"/>
    <w:tmpl w:val="3E9060F2"/>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1F7A1F"/>
    <w:rsid w:val="26862C9F"/>
    <w:rsid w:val="54257BAB"/>
    <w:rsid w:val="561F7A1F"/>
    <w:rsid w:val="5A1D3C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itle"/>
    <w:basedOn w:val="1"/>
    <w:next w:val="1"/>
    <w:qFormat/>
    <w:uiPriority w:val="0"/>
    <w:pPr>
      <w:spacing w:before="240" w:beforeLines="0" w:beforeAutospacing="0" w:after="60" w:afterLines="0" w:afterAutospacing="0"/>
      <w:jc w:val="center"/>
      <w:outlineLvl w:val="0"/>
    </w:pPr>
    <w:rPr>
      <w:rFonts w:ascii="Arial" w:hAnsi="Arial"/>
      <w:b/>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2026-02-04T00:22:00Z</dcterms:created>
  <dc:creator>HP</dc:creator>
  <cp:lastModifiedBy>HP</cp:lastModifiedBy>
  <dcterms:modified xsi:type="dcterms:W3CDTF">2026-02-04T00:26:17Z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